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89" w:rsidRPr="000D562F" w:rsidRDefault="00832984" w:rsidP="00047390">
      <w:pPr>
        <w:jc w:val="right"/>
        <w:rPr>
          <w:rFonts w:cs="Arial"/>
          <w:b/>
          <w:sz w:val="20"/>
          <w:szCs w:val="20"/>
        </w:rPr>
      </w:pPr>
      <w:r w:rsidRPr="000D562F">
        <w:rPr>
          <w:noProof/>
          <w:sz w:val="20"/>
          <w:szCs w:val="20"/>
          <w:lang w:val="en-US"/>
        </w:rPr>
        <w:drawing>
          <wp:inline distT="0" distB="0" distL="0" distR="0">
            <wp:extent cx="1828800" cy="697831"/>
            <wp:effectExtent l="0" t="0" r="0" b="0"/>
            <wp:docPr id="3" name="Picture 1" descr="ITC_logo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C_logo_EN_RGB"/>
                    <pic:cNvPicPr>
                      <a:picLocks noChangeAspect="1" noChangeArrowheads="1"/>
                    </pic:cNvPicPr>
                  </pic:nvPicPr>
                  <pic:blipFill>
                    <a:blip r:embed="rId8" cstate="print"/>
                    <a:srcRect l="-7078"/>
                    <a:stretch>
                      <a:fillRect/>
                    </a:stretch>
                  </pic:blipFill>
                  <pic:spPr bwMode="auto">
                    <a:xfrm>
                      <a:off x="0" y="0"/>
                      <a:ext cx="1828800" cy="697831"/>
                    </a:xfrm>
                    <a:prstGeom prst="rect">
                      <a:avLst/>
                    </a:prstGeom>
                    <a:noFill/>
                    <a:ln w="9525">
                      <a:noFill/>
                      <a:miter lim="800000"/>
                      <a:headEnd/>
                      <a:tailEnd/>
                    </a:ln>
                  </pic:spPr>
                </pic:pic>
              </a:graphicData>
            </a:graphic>
          </wp:inline>
        </w:drawing>
      </w:r>
      <w:r w:rsidR="00047390" w:rsidRPr="000D562F">
        <w:rPr>
          <w:sz w:val="20"/>
          <w:szCs w:val="20"/>
        </w:rPr>
        <w:t xml:space="preserve">                               </w:t>
      </w:r>
      <w:r w:rsidRPr="000D562F">
        <w:rPr>
          <w:noProof/>
          <w:sz w:val="20"/>
          <w:szCs w:val="20"/>
          <w:lang w:val="en-US"/>
        </w:rPr>
        <w:drawing>
          <wp:inline distT="0" distB="0" distL="0" distR="0">
            <wp:extent cx="2280920" cy="615950"/>
            <wp:effectExtent l="19050" t="0" r="5080" b="0"/>
            <wp:docPr id="14" name="Picture 1" descr="DAFF unit_RGB_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F unit_RGB_MSWord"/>
                    <pic:cNvPicPr>
                      <a:picLocks noChangeAspect="1" noChangeArrowheads="1"/>
                    </pic:cNvPicPr>
                  </pic:nvPicPr>
                  <pic:blipFill>
                    <a:blip r:embed="rId9" cstate="print"/>
                    <a:srcRect/>
                    <a:stretch>
                      <a:fillRect/>
                    </a:stretch>
                  </pic:blipFill>
                  <pic:spPr bwMode="auto">
                    <a:xfrm>
                      <a:off x="0" y="0"/>
                      <a:ext cx="2280920" cy="615950"/>
                    </a:xfrm>
                    <a:prstGeom prst="rect">
                      <a:avLst/>
                    </a:prstGeom>
                    <a:noFill/>
                    <a:ln w="9525">
                      <a:noFill/>
                      <a:miter lim="800000"/>
                      <a:headEnd/>
                      <a:tailEnd/>
                    </a:ln>
                  </pic:spPr>
                </pic:pic>
              </a:graphicData>
            </a:graphic>
          </wp:inline>
        </w:drawing>
      </w:r>
    </w:p>
    <w:p w:rsidR="006C3289" w:rsidRPr="000D562F" w:rsidRDefault="006C3289">
      <w:pPr>
        <w:rPr>
          <w:rFonts w:cs="Arial"/>
          <w:b/>
          <w:sz w:val="20"/>
          <w:szCs w:val="20"/>
        </w:rPr>
      </w:pPr>
    </w:p>
    <w:p w:rsidR="006C3289" w:rsidRPr="000D562F" w:rsidRDefault="006C3289">
      <w:pPr>
        <w:rPr>
          <w:rFonts w:cs="Arial"/>
          <w:b/>
          <w:sz w:val="20"/>
          <w:szCs w:val="20"/>
        </w:rPr>
      </w:pPr>
    </w:p>
    <w:p w:rsidR="006C3289" w:rsidRPr="000D562F" w:rsidRDefault="006C3289">
      <w:pPr>
        <w:rPr>
          <w:rFonts w:cs="Arial"/>
          <w:b/>
          <w:sz w:val="20"/>
          <w:szCs w:val="20"/>
        </w:rPr>
      </w:pPr>
    </w:p>
    <w:p w:rsidR="006C3289" w:rsidRPr="000D562F" w:rsidRDefault="006C3289">
      <w:pPr>
        <w:rPr>
          <w:rFonts w:cs="Arial"/>
          <w:b/>
          <w:sz w:val="20"/>
          <w:szCs w:val="20"/>
        </w:rPr>
      </w:pPr>
    </w:p>
    <w:p w:rsidR="00050B95" w:rsidRPr="000D562F" w:rsidRDefault="008B593E" w:rsidP="00050B95">
      <w:pPr>
        <w:pStyle w:val="Booktitle"/>
        <w:rPr>
          <w:sz w:val="56"/>
          <w:szCs w:val="20"/>
        </w:rPr>
      </w:pPr>
      <w:r>
        <w:rPr>
          <w:rFonts w:cs="Arial"/>
          <w:b/>
          <w:sz w:val="56"/>
          <w:szCs w:val="20"/>
        </w:rPr>
        <w:t>Market Analysis: Sunflower oil</w:t>
      </w: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Default="006C3289" w:rsidP="00C920A1">
      <w:pPr>
        <w:jc w:val="center"/>
        <w:rPr>
          <w:rFonts w:cs="Arial"/>
          <w:b/>
          <w:sz w:val="20"/>
          <w:szCs w:val="20"/>
        </w:rPr>
      </w:pPr>
    </w:p>
    <w:p w:rsidR="00C920A1" w:rsidRPr="000D562F" w:rsidRDefault="00257806" w:rsidP="00C920A1">
      <w:pPr>
        <w:jc w:val="center"/>
        <w:rPr>
          <w:rFonts w:cs="Arial"/>
          <w:b/>
          <w:sz w:val="20"/>
          <w:szCs w:val="20"/>
        </w:rPr>
      </w:pPr>
      <w:r w:rsidRPr="00257806">
        <w:rPr>
          <w:rFonts w:cs="Arial"/>
          <w:b/>
          <w:noProof/>
          <w:sz w:val="20"/>
          <w:szCs w:val="20"/>
          <w:lang w:eastAsia="en-GB"/>
        </w:rPr>
        <w:pict>
          <v:rect id="_x0000_s1026" style="position:absolute;left:0;text-align:left;margin-left:92.15pt;margin-top:7.75pt;width:259.95pt;height:325pt;z-index:251661824" filled="f" stroked="f" strokecolor="black [3213]">
            <v:textbox>
              <w:txbxContent>
                <w:p w:rsidR="00677EA2" w:rsidRDefault="00677EA2" w:rsidP="00050B95">
                  <w:pPr>
                    <w:jc w:val="center"/>
                    <w:rPr>
                      <w:rFonts w:cs="Arial"/>
                      <w:b/>
                      <w:sz w:val="30"/>
                      <w:highlight w:val="yellow"/>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pPr>
                    <w:rPr>
                      <w:lang w:val="fr-CH"/>
                    </w:rPr>
                  </w:pPr>
                </w:p>
                <w:p w:rsidR="00677EA2" w:rsidRDefault="00677EA2" w:rsidP="00C920A1">
                  <w:pPr>
                    <w:rPr>
                      <w:lang w:val="fr-CH"/>
                    </w:rPr>
                  </w:pPr>
                </w:p>
                <w:p w:rsidR="00677EA2" w:rsidRDefault="00677EA2">
                  <w:pPr>
                    <w:rPr>
                      <w:lang w:val="fr-CH"/>
                    </w:rPr>
                  </w:pPr>
                  <w:r>
                    <w:rPr>
                      <w:lang w:val="fr-CH"/>
                    </w:rPr>
                    <w:t xml:space="preserve">     </w:t>
                  </w:r>
                  <w:r w:rsidRPr="00564EE1">
                    <w:rPr>
                      <w:noProof/>
                      <w:lang w:val="en-US"/>
                    </w:rPr>
                    <w:drawing>
                      <wp:inline distT="0" distB="0" distL="0" distR="0">
                        <wp:extent cx="3257550" cy="2057400"/>
                        <wp:effectExtent l="19050" t="0" r="0" b="0"/>
                        <wp:docPr id="11" name="Picture 2" descr="http://online-pictures.thundafunda.com/1/sunflowers/sunflower-pictures-of-flowers-013.jpg"/>
                        <wp:cNvGraphicFramePr/>
                        <a:graphic xmlns:a="http://schemas.openxmlformats.org/drawingml/2006/main">
                          <a:graphicData uri="http://schemas.openxmlformats.org/drawingml/2006/picture">
                            <pic:pic xmlns:pic="http://schemas.openxmlformats.org/drawingml/2006/picture">
                              <pic:nvPicPr>
                                <pic:cNvPr id="3078" name="Picture 9" descr="http://online-pictures.thundafunda.com/1/sunflowers/sunflower-pictures-of-flowers-013.jpg"/>
                                <pic:cNvPicPr>
                                  <a:picLocks noChangeAspect="1" noChangeArrowheads="1"/>
                                </pic:cNvPicPr>
                              </pic:nvPicPr>
                              <pic:blipFill>
                                <a:blip r:embed="rId10" cstate="print"/>
                                <a:srcRect l="2660" t="2733" r="3728" b="3416"/>
                                <a:stretch>
                                  <a:fillRect/>
                                </a:stretch>
                              </pic:blipFill>
                              <pic:spPr bwMode="auto">
                                <a:xfrm>
                                  <a:off x="0" y="0"/>
                                  <a:ext cx="3257550" cy="2057400"/>
                                </a:xfrm>
                                <a:prstGeom prst="rect">
                                  <a:avLst/>
                                </a:prstGeom>
                                <a:noFill/>
                                <a:ln w="9525">
                                  <a:noFill/>
                                  <a:miter lim="800000"/>
                                  <a:headEnd/>
                                  <a:tailEnd/>
                                </a:ln>
                              </pic:spPr>
                            </pic:pic>
                          </a:graphicData>
                        </a:graphic>
                      </wp:inline>
                    </w:drawing>
                  </w:r>
                </w:p>
                <w:p w:rsidR="00677EA2" w:rsidRPr="00050B95" w:rsidRDefault="00677EA2">
                  <w:pPr>
                    <w:rPr>
                      <w:lang w:val="fr-CH"/>
                    </w:rPr>
                  </w:pPr>
                </w:p>
              </w:txbxContent>
            </v:textbox>
          </v:rect>
        </w:pict>
      </w:r>
    </w:p>
    <w:p w:rsidR="006C3289" w:rsidRPr="000D562F" w:rsidRDefault="00B65BD5" w:rsidP="00B65BD5">
      <w:pPr>
        <w:ind w:left="1440"/>
        <w:rPr>
          <w:rFonts w:cs="Arial"/>
          <w:b/>
          <w:sz w:val="20"/>
          <w:szCs w:val="20"/>
        </w:rPr>
      </w:pPr>
      <w:r>
        <w:rPr>
          <w:rFonts w:cs="Arial"/>
          <w:b/>
          <w:sz w:val="20"/>
          <w:szCs w:val="20"/>
        </w:rPr>
        <w:t xml:space="preserve">         </w:t>
      </w:r>
      <w:r w:rsidR="00564EE1" w:rsidRPr="00564EE1">
        <w:rPr>
          <w:rFonts w:cs="Arial"/>
          <w:b/>
          <w:noProof/>
          <w:sz w:val="20"/>
          <w:szCs w:val="20"/>
          <w:lang w:val="en-US"/>
        </w:rPr>
        <w:drawing>
          <wp:inline distT="0" distB="0" distL="0" distR="0">
            <wp:extent cx="3133725" cy="1866900"/>
            <wp:effectExtent l="19050" t="0" r="9525" b="0"/>
            <wp:docPr id="10" name="Picture 1" descr="http://www.bombayharbor.com/productImage/0068925001282726702/Sunflower_Oil.jpg"/>
            <wp:cNvGraphicFramePr/>
            <a:graphic xmlns:a="http://schemas.openxmlformats.org/drawingml/2006/main">
              <a:graphicData uri="http://schemas.openxmlformats.org/drawingml/2006/picture">
                <pic:pic xmlns:pic="http://schemas.openxmlformats.org/drawingml/2006/picture">
                  <pic:nvPicPr>
                    <pic:cNvPr id="3080" name="Picture 10" descr="http://www.bombayharbor.com/productImage/0068925001282726702/Sunflower_Oil.jpg"/>
                    <pic:cNvPicPr>
                      <a:picLocks noChangeAspect="1" noChangeArrowheads="1"/>
                    </pic:cNvPicPr>
                  </pic:nvPicPr>
                  <pic:blipFill>
                    <a:blip r:embed="rId11" cstate="print"/>
                    <a:srcRect/>
                    <a:stretch>
                      <a:fillRect/>
                    </a:stretch>
                  </pic:blipFill>
                  <pic:spPr bwMode="auto">
                    <a:xfrm>
                      <a:off x="0" y="0"/>
                      <a:ext cx="3133368" cy="1866687"/>
                    </a:xfrm>
                    <a:prstGeom prst="rect">
                      <a:avLst/>
                    </a:prstGeom>
                    <a:noFill/>
                    <a:ln w="9525">
                      <a:noFill/>
                      <a:miter lim="800000"/>
                      <a:headEnd/>
                      <a:tailEnd/>
                    </a:ln>
                  </pic:spPr>
                </pic:pic>
              </a:graphicData>
            </a:graphic>
          </wp:inline>
        </w:drawing>
      </w: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Pr="000D562F" w:rsidRDefault="006C3289">
      <w:pPr>
        <w:jc w:val="center"/>
        <w:rPr>
          <w:rFonts w:cs="Arial"/>
          <w:b/>
          <w:sz w:val="20"/>
          <w:szCs w:val="20"/>
        </w:rPr>
      </w:pPr>
    </w:p>
    <w:p w:rsidR="006C3289" w:rsidRPr="000D562F" w:rsidRDefault="00235D21">
      <w:pPr>
        <w:pStyle w:val="Heading5"/>
        <w:rPr>
          <w:bCs w:val="0"/>
          <w:sz w:val="20"/>
          <w:szCs w:val="20"/>
        </w:rPr>
      </w:pPr>
      <w:r w:rsidRPr="000D562F">
        <w:rPr>
          <w:bCs w:val="0"/>
          <w:sz w:val="20"/>
          <w:szCs w:val="20"/>
        </w:rPr>
        <w:br w:type="page"/>
      </w:r>
    </w:p>
    <w:p w:rsidR="006C3289" w:rsidRPr="000D562F" w:rsidRDefault="006C3289">
      <w:pPr>
        <w:pStyle w:val="Heading5"/>
        <w:rPr>
          <w:bCs w:val="0"/>
          <w:sz w:val="20"/>
          <w:szCs w:val="20"/>
        </w:rPr>
      </w:pPr>
    </w:p>
    <w:p w:rsidR="006C3289" w:rsidRPr="000D562F" w:rsidRDefault="006C3289">
      <w:pPr>
        <w:pStyle w:val="Heading5"/>
        <w:rPr>
          <w:bCs w:val="0"/>
          <w:sz w:val="20"/>
          <w:szCs w:val="20"/>
        </w:rPr>
      </w:pPr>
    </w:p>
    <w:p w:rsidR="006C3289" w:rsidRPr="000D562F" w:rsidRDefault="006C3289">
      <w:pPr>
        <w:pStyle w:val="Heading5"/>
        <w:rPr>
          <w:bCs w:val="0"/>
          <w:sz w:val="20"/>
          <w:szCs w:val="20"/>
        </w:rPr>
      </w:pPr>
    </w:p>
    <w:p w:rsidR="006C3289" w:rsidRPr="000D562F" w:rsidRDefault="006C3289">
      <w:pPr>
        <w:pStyle w:val="Heading5"/>
        <w:rPr>
          <w:bCs w:val="0"/>
          <w:sz w:val="20"/>
          <w:szCs w:val="20"/>
        </w:rPr>
      </w:pPr>
    </w:p>
    <w:p w:rsidR="00050B95" w:rsidRPr="000D562F" w:rsidRDefault="008B593E" w:rsidP="00050B95">
      <w:pPr>
        <w:pStyle w:val="Booktitle"/>
        <w:rPr>
          <w:rFonts w:cs="Arial"/>
          <w:b/>
          <w:sz w:val="56"/>
          <w:szCs w:val="20"/>
        </w:rPr>
      </w:pPr>
      <w:r>
        <w:rPr>
          <w:rFonts w:cs="Arial"/>
          <w:b/>
          <w:sz w:val="56"/>
          <w:szCs w:val="20"/>
        </w:rPr>
        <w:t>Market Analysis: SUnflower Oil</w:t>
      </w:r>
    </w:p>
    <w:p w:rsidR="006C3289" w:rsidRPr="000D562F" w:rsidRDefault="00235D21">
      <w:pPr>
        <w:pStyle w:val="Heading5"/>
        <w:rPr>
          <w:bCs w:val="0"/>
          <w:sz w:val="20"/>
          <w:szCs w:val="20"/>
        </w:rPr>
      </w:pPr>
      <w:r w:rsidRPr="000D562F">
        <w:rPr>
          <w:bCs w:val="0"/>
          <w:sz w:val="20"/>
          <w:szCs w:val="20"/>
        </w:rPr>
        <w:br w:type="page"/>
      </w:r>
    </w:p>
    <w:p w:rsidR="006C3289" w:rsidRPr="000D562F" w:rsidRDefault="00235D21">
      <w:pPr>
        <w:pBdr>
          <w:top w:val="single" w:sz="4" w:space="5" w:color="auto"/>
          <w:left w:val="single" w:sz="4" w:space="5" w:color="auto"/>
          <w:bottom w:val="single" w:sz="4" w:space="5" w:color="auto"/>
          <w:right w:val="single" w:sz="4" w:space="5" w:color="auto"/>
        </w:pBdr>
        <w:jc w:val="both"/>
        <w:rPr>
          <w:sz w:val="20"/>
          <w:szCs w:val="20"/>
        </w:rPr>
      </w:pPr>
      <w:r w:rsidRPr="000D562F">
        <w:rPr>
          <w:sz w:val="20"/>
          <w:szCs w:val="20"/>
        </w:rPr>
        <w:lastRenderedPageBreak/>
        <w:t xml:space="preserve">The designations employed and the presentation of material in this study do not imply the expression of any opinion whatsoever on the part </w:t>
      </w:r>
      <w:r w:rsidR="000C25EB" w:rsidRPr="000D562F">
        <w:rPr>
          <w:sz w:val="20"/>
          <w:szCs w:val="20"/>
        </w:rPr>
        <w:t>of the International Trade Cent</w:t>
      </w:r>
      <w:r w:rsidRPr="000D562F">
        <w:rPr>
          <w:sz w:val="20"/>
          <w:szCs w:val="20"/>
        </w:rPr>
        <w:t>r</w:t>
      </w:r>
      <w:r w:rsidR="000C25EB" w:rsidRPr="000D562F">
        <w:rPr>
          <w:sz w:val="20"/>
          <w:szCs w:val="20"/>
        </w:rPr>
        <w:t>e</w:t>
      </w:r>
      <w:r w:rsidRPr="000D562F">
        <w:rPr>
          <w:sz w:val="20"/>
          <w:szCs w:val="20"/>
        </w:rPr>
        <w:t xml:space="preserve"> (ITC) concerning the legal status of any country, territory, city or area or of its authorities, or concerning the delimitation of its frontiers or boundaries.</w:t>
      </w:r>
    </w:p>
    <w:p w:rsidR="006C3289" w:rsidRPr="000D562F" w:rsidRDefault="006C3289">
      <w:pPr>
        <w:pBdr>
          <w:top w:val="single" w:sz="4" w:space="5" w:color="auto"/>
          <w:left w:val="single" w:sz="4" w:space="5" w:color="auto"/>
          <w:bottom w:val="single" w:sz="4" w:space="5" w:color="auto"/>
          <w:right w:val="single" w:sz="4" w:space="5" w:color="auto"/>
        </w:pBdr>
        <w:jc w:val="both"/>
        <w:rPr>
          <w:sz w:val="20"/>
          <w:szCs w:val="20"/>
        </w:rPr>
      </w:pPr>
    </w:p>
    <w:p w:rsidR="006C3289" w:rsidRPr="000D562F" w:rsidRDefault="00235D21">
      <w:pPr>
        <w:pBdr>
          <w:top w:val="single" w:sz="4" w:space="5" w:color="auto"/>
          <w:left w:val="single" w:sz="4" w:space="5" w:color="auto"/>
          <w:bottom w:val="single" w:sz="4" w:space="5" w:color="auto"/>
          <w:right w:val="single" w:sz="4" w:space="5" w:color="auto"/>
        </w:pBdr>
        <w:jc w:val="both"/>
        <w:rPr>
          <w:sz w:val="20"/>
          <w:szCs w:val="20"/>
        </w:rPr>
      </w:pPr>
      <w:r w:rsidRPr="000D562F">
        <w:rPr>
          <w:sz w:val="20"/>
          <w:szCs w:val="20"/>
        </w:rPr>
        <w:t>The mention of specific companies or of certain commercial products and brand names does not imply that they are endorsed or recommended by ITC in preference to others of a similar nature that are not mentioned.</w:t>
      </w: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235D21">
      <w:pPr>
        <w:pStyle w:val="BodyText"/>
        <w:rPr>
          <w:rFonts w:cs="Times New Roman"/>
          <w:sz w:val="20"/>
          <w:szCs w:val="20"/>
        </w:rPr>
      </w:pPr>
      <w:r w:rsidRPr="000D562F">
        <w:rPr>
          <w:rFonts w:cs="Times New Roman"/>
          <w:sz w:val="20"/>
          <w:szCs w:val="20"/>
        </w:rPr>
        <w:t xml:space="preserve">Short extracts from this document may be freely reproduced, with due acknowledgement of the source. </w:t>
      </w:r>
    </w:p>
    <w:p w:rsidR="00B666E5" w:rsidRPr="000D562F" w:rsidRDefault="00B666E5">
      <w:pPr>
        <w:pStyle w:val="BodyText"/>
        <w:rPr>
          <w:rFonts w:cs="Times New Roman"/>
          <w:sz w:val="20"/>
          <w:szCs w:val="20"/>
        </w:rPr>
      </w:pPr>
    </w:p>
    <w:p w:rsidR="006C3289" w:rsidRPr="000D562F" w:rsidRDefault="006C3289">
      <w:pPr>
        <w:rPr>
          <w:sz w:val="20"/>
          <w:szCs w:val="20"/>
        </w:rPr>
      </w:pPr>
    </w:p>
    <w:p w:rsidR="006C3289" w:rsidRPr="000D562F" w:rsidRDefault="006C3289">
      <w:pPr>
        <w:rPr>
          <w:sz w:val="20"/>
          <w:szCs w:val="20"/>
        </w:rPr>
      </w:pPr>
    </w:p>
    <w:p w:rsidR="006C3289" w:rsidRPr="000D562F" w:rsidRDefault="00235D21">
      <w:pPr>
        <w:jc w:val="center"/>
        <w:rPr>
          <w:sz w:val="20"/>
          <w:szCs w:val="20"/>
        </w:rPr>
      </w:pPr>
      <w:r w:rsidRPr="000D562F">
        <w:rPr>
          <w:sz w:val="20"/>
          <w:szCs w:val="20"/>
        </w:rPr>
        <w:t xml:space="preserve">This market </w:t>
      </w:r>
      <w:r w:rsidR="00B666E5" w:rsidRPr="000D562F">
        <w:rPr>
          <w:sz w:val="20"/>
          <w:szCs w:val="20"/>
        </w:rPr>
        <w:t>profi</w:t>
      </w:r>
      <w:r w:rsidR="00050B95" w:rsidRPr="000D562F">
        <w:rPr>
          <w:sz w:val="20"/>
          <w:szCs w:val="20"/>
        </w:rPr>
        <w:t>le</w:t>
      </w:r>
      <w:r w:rsidRPr="000D562F">
        <w:rPr>
          <w:sz w:val="20"/>
          <w:szCs w:val="20"/>
        </w:rPr>
        <w:t xml:space="preserve"> has not been formally edited by the</w:t>
      </w:r>
    </w:p>
    <w:p w:rsidR="006C3289" w:rsidRPr="000D562F" w:rsidRDefault="00235D21">
      <w:pPr>
        <w:jc w:val="center"/>
        <w:rPr>
          <w:sz w:val="20"/>
          <w:szCs w:val="20"/>
        </w:rPr>
      </w:pPr>
      <w:r w:rsidRPr="000D562F">
        <w:rPr>
          <w:sz w:val="20"/>
          <w:szCs w:val="20"/>
        </w:rPr>
        <w:t>International Trade Centre (ITC)</w:t>
      </w:r>
    </w:p>
    <w:p w:rsidR="006C3289" w:rsidRPr="000D562F" w:rsidRDefault="006C3289">
      <w:pPr>
        <w:jc w:val="center"/>
        <w:rPr>
          <w:sz w:val="20"/>
          <w:szCs w:val="20"/>
        </w:rPr>
      </w:pPr>
    </w:p>
    <w:p w:rsidR="006C3289" w:rsidRPr="000D562F" w:rsidRDefault="006C3289">
      <w:pPr>
        <w:jc w:val="center"/>
        <w:rPr>
          <w:sz w:val="20"/>
          <w:szCs w:val="20"/>
        </w:rPr>
      </w:pPr>
    </w:p>
    <w:p w:rsidR="00050B95" w:rsidRDefault="00235D21">
      <w:pPr>
        <w:jc w:val="center"/>
        <w:rPr>
          <w:sz w:val="20"/>
          <w:szCs w:val="20"/>
        </w:rPr>
      </w:pPr>
      <w:r w:rsidRPr="000D562F">
        <w:rPr>
          <w:sz w:val="20"/>
          <w:szCs w:val="20"/>
        </w:rPr>
        <w:t xml:space="preserve">Prepared by </w:t>
      </w:r>
      <w:r w:rsidR="00050B95" w:rsidRPr="000D562F">
        <w:rPr>
          <w:sz w:val="20"/>
          <w:szCs w:val="20"/>
        </w:rPr>
        <w:t xml:space="preserve">: </w:t>
      </w:r>
    </w:p>
    <w:p w:rsidR="008B7ACD" w:rsidRPr="000D562F" w:rsidRDefault="008B7ACD">
      <w:pPr>
        <w:jc w:val="center"/>
        <w:rPr>
          <w:sz w:val="20"/>
          <w:szCs w:val="20"/>
        </w:rPr>
      </w:pPr>
    </w:p>
    <w:p w:rsidR="00050B95" w:rsidRPr="000D562F" w:rsidRDefault="008B593E" w:rsidP="008B7ACD">
      <w:pPr>
        <w:jc w:val="center"/>
        <w:rPr>
          <w:sz w:val="20"/>
          <w:szCs w:val="20"/>
        </w:rPr>
      </w:pPr>
      <w:r>
        <w:rPr>
          <w:sz w:val="20"/>
          <w:szCs w:val="20"/>
        </w:rPr>
        <w:t>Louise Swart</w:t>
      </w:r>
      <w:r w:rsidR="00B83968" w:rsidRPr="000D562F">
        <w:rPr>
          <w:sz w:val="20"/>
          <w:szCs w:val="20"/>
        </w:rPr>
        <w:t xml:space="preserve">, </w:t>
      </w:r>
      <w:r>
        <w:rPr>
          <w:sz w:val="20"/>
          <w:szCs w:val="20"/>
        </w:rPr>
        <w:t>Economist</w:t>
      </w:r>
      <w:r w:rsidR="00B83968" w:rsidRPr="000D562F">
        <w:rPr>
          <w:sz w:val="20"/>
          <w:szCs w:val="20"/>
        </w:rPr>
        <w:t>,</w:t>
      </w:r>
      <w:r>
        <w:rPr>
          <w:sz w:val="20"/>
          <w:szCs w:val="20"/>
        </w:rPr>
        <w:t xml:space="preserve"> National Agricultural Marketing Council</w:t>
      </w:r>
    </w:p>
    <w:p w:rsidR="00B83968" w:rsidRPr="000D562F" w:rsidRDefault="008B593E" w:rsidP="008B7ACD">
      <w:pPr>
        <w:jc w:val="center"/>
        <w:rPr>
          <w:sz w:val="20"/>
          <w:szCs w:val="20"/>
        </w:rPr>
      </w:pPr>
      <w:r>
        <w:rPr>
          <w:sz w:val="20"/>
          <w:szCs w:val="20"/>
        </w:rPr>
        <w:t>Nico Scheltema</w:t>
      </w:r>
      <w:r w:rsidR="00B83968" w:rsidRPr="000D562F">
        <w:rPr>
          <w:sz w:val="20"/>
          <w:szCs w:val="20"/>
        </w:rPr>
        <w:t>,</w:t>
      </w:r>
      <w:r>
        <w:rPr>
          <w:sz w:val="20"/>
          <w:szCs w:val="20"/>
        </w:rPr>
        <w:t xml:space="preserve"> Economist,</w:t>
      </w:r>
      <w:r w:rsidR="00B83968" w:rsidRPr="000D562F">
        <w:rPr>
          <w:sz w:val="20"/>
          <w:szCs w:val="20"/>
        </w:rPr>
        <w:t xml:space="preserve"> </w:t>
      </w:r>
      <w:r>
        <w:rPr>
          <w:sz w:val="20"/>
          <w:szCs w:val="20"/>
        </w:rPr>
        <w:t>National Agricultural Marketing Council</w:t>
      </w:r>
    </w:p>
    <w:p w:rsidR="00B83968" w:rsidRPr="000D562F" w:rsidRDefault="008B593E" w:rsidP="008B7ACD">
      <w:pPr>
        <w:jc w:val="center"/>
        <w:rPr>
          <w:sz w:val="20"/>
          <w:szCs w:val="20"/>
        </w:rPr>
      </w:pPr>
      <w:r>
        <w:rPr>
          <w:sz w:val="20"/>
          <w:szCs w:val="20"/>
        </w:rPr>
        <w:t>Tshepo Ranoto</w:t>
      </w:r>
      <w:r w:rsidR="00B83968" w:rsidRPr="000D562F">
        <w:rPr>
          <w:sz w:val="20"/>
          <w:szCs w:val="20"/>
        </w:rPr>
        <w:t xml:space="preserve">, </w:t>
      </w:r>
      <w:r>
        <w:rPr>
          <w:sz w:val="20"/>
          <w:szCs w:val="20"/>
        </w:rPr>
        <w:t>Department of Agriculture, Forestry and Fisheries</w:t>
      </w:r>
    </w:p>
    <w:p w:rsidR="00B83968" w:rsidRPr="000D562F" w:rsidRDefault="00323547" w:rsidP="008B7ACD">
      <w:pPr>
        <w:jc w:val="center"/>
        <w:rPr>
          <w:sz w:val="20"/>
          <w:szCs w:val="20"/>
        </w:rPr>
      </w:pPr>
      <w:r>
        <w:rPr>
          <w:sz w:val="20"/>
          <w:szCs w:val="20"/>
        </w:rPr>
        <w:t>Gert van Rensburg</w:t>
      </w:r>
      <w:r w:rsidR="00B83968" w:rsidRPr="000D562F">
        <w:rPr>
          <w:sz w:val="20"/>
          <w:szCs w:val="20"/>
        </w:rPr>
        <w:t xml:space="preserve">, </w:t>
      </w:r>
      <w:r>
        <w:rPr>
          <w:sz w:val="20"/>
          <w:szCs w:val="20"/>
        </w:rPr>
        <w:t>Department of Agriculture, Forestry and Fisheries</w:t>
      </w:r>
    </w:p>
    <w:p w:rsidR="00050B95" w:rsidRPr="000D562F" w:rsidRDefault="00050B95">
      <w:pPr>
        <w:jc w:val="center"/>
        <w:rPr>
          <w:sz w:val="20"/>
          <w:szCs w:val="20"/>
        </w:rPr>
      </w:pPr>
    </w:p>
    <w:p w:rsidR="00050B95" w:rsidRPr="000D562F" w:rsidRDefault="00050B95">
      <w:pPr>
        <w:jc w:val="center"/>
        <w:rPr>
          <w:sz w:val="20"/>
          <w:szCs w:val="20"/>
        </w:rPr>
      </w:pPr>
      <w:r w:rsidRPr="000D562F">
        <w:rPr>
          <w:sz w:val="20"/>
          <w:szCs w:val="20"/>
        </w:rPr>
        <w:t>U</w:t>
      </w:r>
      <w:r w:rsidR="00235D21" w:rsidRPr="000D562F">
        <w:rPr>
          <w:sz w:val="20"/>
          <w:szCs w:val="20"/>
        </w:rPr>
        <w:t>nder the supervision of</w:t>
      </w:r>
      <w:r w:rsidRPr="000D562F">
        <w:rPr>
          <w:sz w:val="20"/>
          <w:szCs w:val="20"/>
        </w:rPr>
        <w:t>:</w:t>
      </w:r>
    </w:p>
    <w:p w:rsidR="000C25EB" w:rsidRPr="000D562F" w:rsidRDefault="000C25EB">
      <w:pPr>
        <w:jc w:val="center"/>
        <w:rPr>
          <w:sz w:val="20"/>
          <w:szCs w:val="20"/>
        </w:rPr>
      </w:pPr>
    </w:p>
    <w:p w:rsidR="00050B95" w:rsidRPr="000D562F" w:rsidRDefault="00050B95" w:rsidP="008B7ACD">
      <w:pPr>
        <w:jc w:val="center"/>
        <w:rPr>
          <w:sz w:val="20"/>
          <w:szCs w:val="20"/>
        </w:rPr>
      </w:pPr>
      <w:r w:rsidRPr="000D562F">
        <w:rPr>
          <w:sz w:val="20"/>
          <w:szCs w:val="20"/>
        </w:rPr>
        <w:t>Olivier MARTY, Market Analysis, Market Analysis and Research section, ITC</w:t>
      </w:r>
    </w:p>
    <w:p w:rsidR="00050B95" w:rsidRPr="000D562F" w:rsidRDefault="00050B95">
      <w:pPr>
        <w:jc w:val="center"/>
        <w:rPr>
          <w:sz w:val="20"/>
          <w:szCs w:val="20"/>
        </w:rPr>
      </w:pPr>
    </w:p>
    <w:p w:rsidR="000C25EB" w:rsidRPr="000D562F" w:rsidRDefault="000C25EB">
      <w:pPr>
        <w:jc w:val="center"/>
        <w:rPr>
          <w:sz w:val="20"/>
          <w:szCs w:val="20"/>
        </w:rPr>
      </w:pPr>
    </w:p>
    <w:p w:rsidR="000C25EB" w:rsidRPr="000D562F" w:rsidRDefault="000C25EB">
      <w:pPr>
        <w:jc w:val="center"/>
        <w:rPr>
          <w:sz w:val="20"/>
          <w:szCs w:val="20"/>
        </w:rPr>
      </w:pPr>
    </w:p>
    <w:p w:rsidR="000C25EB" w:rsidRPr="000D562F" w:rsidRDefault="000C25EB">
      <w:pPr>
        <w:jc w:val="center"/>
        <w:rPr>
          <w:sz w:val="20"/>
          <w:szCs w:val="20"/>
        </w:rPr>
      </w:pPr>
    </w:p>
    <w:p w:rsidR="00050B95" w:rsidRPr="000D562F" w:rsidRDefault="00050B95">
      <w:pPr>
        <w:jc w:val="center"/>
        <w:rPr>
          <w:sz w:val="20"/>
          <w:szCs w:val="20"/>
        </w:rPr>
      </w:pPr>
    </w:p>
    <w:p w:rsidR="006C3289" w:rsidRPr="000D562F" w:rsidRDefault="00235D21">
      <w:pPr>
        <w:jc w:val="center"/>
        <w:rPr>
          <w:sz w:val="20"/>
          <w:szCs w:val="20"/>
        </w:rPr>
      </w:pPr>
      <w:r w:rsidRPr="000D562F">
        <w:rPr>
          <w:sz w:val="20"/>
          <w:szCs w:val="20"/>
        </w:rPr>
        <w:t xml:space="preserve">For additional information, please contact: </w:t>
      </w:r>
      <w:hyperlink r:id="rId12" w:history="1">
        <w:r w:rsidR="00050B95" w:rsidRPr="000D562F">
          <w:rPr>
            <w:rStyle w:val="Hyperlink"/>
            <w:color w:val="000000" w:themeColor="text1"/>
            <w:sz w:val="20"/>
            <w:szCs w:val="20"/>
          </w:rPr>
          <w:t>marketanalysis@intracen.org</w:t>
        </w:r>
      </w:hyperlink>
    </w:p>
    <w:p w:rsidR="00B666E5" w:rsidRPr="000D562F" w:rsidRDefault="00235D21">
      <w:pPr>
        <w:jc w:val="center"/>
        <w:rPr>
          <w:rFonts w:cs="Arial"/>
          <w:b/>
          <w:sz w:val="20"/>
          <w:szCs w:val="20"/>
        </w:rPr>
      </w:pPr>
      <w:r w:rsidRPr="000D562F">
        <w:rPr>
          <w:rFonts w:cs="Arial"/>
          <w:b/>
          <w:sz w:val="20"/>
          <w:szCs w:val="20"/>
        </w:rPr>
        <w:br w:type="page"/>
      </w:r>
    </w:p>
    <w:p w:rsidR="00B666E5" w:rsidRPr="000D562F" w:rsidRDefault="00B666E5" w:rsidP="000C25EB">
      <w:pPr>
        <w:pStyle w:val="Heading1"/>
        <w:spacing w:line="360" w:lineRule="auto"/>
        <w:jc w:val="center"/>
        <w:rPr>
          <w:sz w:val="20"/>
          <w:szCs w:val="20"/>
        </w:rPr>
      </w:pPr>
      <w:bookmarkStart w:id="0" w:name="_Toc285627179"/>
      <w:bookmarkStart w:id="1" w:name="_Toc290627285"/>
      <w:r w:rsidRPr="000D562F">
        <w:rPr>
          <w:sz w:val="20"/>
          <w:szCs w:val="20"/>
        </w:rPr>
        <w:lastRenderedPageBreak/>
        <w:t>Foreword</w:t>
      </w:r>
      <w:bookmarkEnd w:id="0"/>
      <w:bookmarkEnd w:id="1"/>
    </w:p>
    <w:p w:rsidR="00B666E5" w:rsidRPr="000D562F" w:rsidRDefault="00B666E5">
      <w:pPr>
        <w:jc w:val="center"/>
        <w:rPr>
          <w:rFonts w:cs="Arial"/>
          <w:b/>
          <w:sz w:val="20"/>
          <w:szCs w:val="20"/>
        </w:rPr>
      </w:pPr>
    </w:p>
    <w:p w:rsidR="00B666E5" w:rsidRPr="000D562F" w:rsidRDefault="007027D3">
      <w:pPr>
        <w:jc w:val="center"/>
        <w:rPr>
          <w:rFonts w:cs="Arial"/>
          <w:b/>
          <w:color w:val="4F81BD" w:themeColor="accent1"/>
          <w:sz w:val="20"/>
          <w:szCs w:val="20"/>
        </w:rPr>
      </w:pPr>
      <w:r w:rsidRPr="000D562F">
        <w:rPr>
          <w:rFonts w:cs="Arial"/>
          <w:b/>
          <w:color w:val="4F81BD" w:themeColor="accent1"/>
          <w:sz w:val="20"/>
          <w:szCs w:val="20"/>
        </w:rPr>
        <w:t xml:space="preserve">Will be written by ITC </w:t>
      </w: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rsidP="000C25EB">
      <w:pPr>
        <w:pStyle w:val="Heading1"/>
        <w:spacing w:line="360" w:lineRule="auto"/>
        <w:jc w:val="center"/>
        <w:rPr>
          <w:sz w:val="20"/>
          <w:szCs w:val="20"/>
        </w:rPr>
      </w:pPr>
      <w:bookmarkStart w:id="2" w:name="_Toc285627180"/>
      <w:bookmarkStart w:id="3" w:name="_Toc290627286"/>
      <w:r w:rsidRPr="000D562F">
        <w:rPr>
          <w:sz w:val="20"/>
          <w:szCs w:val="20"/>
        </w:rPr>
        <w:t>Acknowledgements</w:t>
      </w:r>
      <w:bookmarkEnd w:id="2"/>
      <w:bookmarkEnd w:id="3"/>
    </w:p>
    <w:p w:rsidR="00B666E5" w:rsidRPr="000D562F" w:rsidRDefault="00B666E5">
      <w:pPr>
        <w:jc w:val="center"/>
        <w:rPr>
          <w:rFonts w:cs="Arial"/>
          <w:b/>
          <w:sz w:val="20"/>
          <w:szCs w:val="20"/>
        </w:rPr>
      </w:pPr>
    </w:p>
    <w:p w:rsidR="00862AA8" w:rsidRPr="000D562F" w:rsidRDefault="00862AA8" w:rsidP="007027D3">
      <w:pPr>
        <w:jc w:val="center"/>
        <w:rPr>
          <w:rFonts w:cs="Arial"/>
          <w:b/>
          <w:color w:val="4F81BD" w:themeColor="accent1"/>
          <w:sz w:val="20"/>
          <w:szCs w:val="20"/>
        </w:rPr>
      </w:pPr>
    </w:p>
    <w:p w:rsidR="007027D3" w:rsidRPr="000D562F" w:rsidRDefault="007027D3" w:rsidP="007027D3">
      <w:pPr>
        <w:jc w:val="center"/>
        <w:rPr>
          <w:rFonts w:cs="Arial"/>
          <w:b/>
          <w:color w:val="4F81BD" w:themeColor="accent1"/>
          <w:sz w:val="20"/>
          <w:szCs w:val="20"/>
        </w:rPr>
      </w:pPr>
      <w:r w:rsidRPr="000D562F">
        <w:rPr>
          <w:rFonts w:cs="Arial"/>
          <w:b/>
          <w:color w:val="4F81BD" w:themeColor="accent1"/>
          <w:sz w:val="20"/>
          <w:szCs w:val="20"/>
        </w:rPr>
        <w:t xml:space="preserve">Will be written by ITC </w:t>
      </w: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7027D3" w:rsidRPr="000D562F" w:rsidRDefault="007027D3">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B666E5" w:rsidRPr="000D562F" w:rsidRDefault="00B666E5">
      <w:pPr>
        <w:jc w:val="center"/>
        <w:rPr>
          <w:rFonts w:cs="Arial"/>
          <w:b/>
          <w:sz w:val="20"/>
          <w:szCs w:val="20"/>
        </w:rPr>
      </w:pPr>
    </w:p>
    <w:p w:rsidR="006C3289" w:rsidRPr="000D562F" w:rsidRDefault="00235D21">
      <w:pPr>
        <w:jc w:val="center"/>
        <w:rPr>
          <w:rFonts w:cs="Arial"/>
          <w:b/>
          <w:sz w:val="20"/>
          <w:szCs w:val="20"/>
        </w:rPr>
      </w:pPr>
      <w:r w:rsidRPr="000D562F">
        <w:rPr>
          <w:rFonts w:cs="Arial"/>
          <w:b/>
          <w:sz w:val="20"/>
          <w:szCs w:val="20"/>
        </w:rPr>
        <w:t>Table of Contents</w:t>
      </w:r>
    </w:p>
    <w:p w:rsidR="00394884" w:rsidRPr="000D562F" w:rsidRDefault="00257806">
      <w:pPr>
        <w:pStyle w:val="TOC1"/>
        <w:rPr>
          <w:rFonts w:asciiTheme="minorHAnsi" w:eastAsiaTheme="minorEastAsia" w:hAnsiTheme="minorHAnsi" w:cstheme="minorBidi"/>
          <w:b w:val="0"/>
          <w:noProof/>
          <w:sz w:val="22"/>
          <w:szCs w:val="22"/>
          <w:lang w:eastAsia="en-GB"/>
        </w:rPr>
      </w:pPr>
      <w:r w:rsidRPr="000D562F">
        <w:rPr>
          <w:b w:val="0"/>
          <w:bCs/>
          <w:sz w:val="20"/>
          <w:szCs w:val="20"/>
        </w:rPr>
        <w:fldChar w:fldCharType="begin"/>
      </w:r>
      <w:r w:rsidR="00235D21" w:rsidRPr="000D562F">
        <w:rPr>
          <w:b w:val="0"/>
          <w:bCs/>
          <w:sz w:val="20"/>
          <w:szCs w:val="20"/>
        </w:rPr>
        <w:instrText xml:space="preserve"> TOC \o "1-2" \h \z </w:instrText>
      </w:r>
      <w:r w:rsidRPr="000D562F">
        <w:rPr>
          <w:b w:val="0"/>
          <w:bCs/>
          <w:sz w:val="20"/>
          <w:szCs w:val="20"/>
        </w:rPr>
        <w:fldChar w:fldCharType="separate"/>
      </w:r>
      <w:hyperlink w:anchor="_Toc290627285" w:history="1">
        <w:r w:rsidR="00394884" w:rsidRPr="000D562F">
          <w:rPr>
            <w:rStyle w:val="Hyperlink"/>
            <w:noProof/>
          </w:rPr>
          <w:t>Foreword</w:t>
        </w:r>
        <w:r w:rsidR="00394884" w:rsidRPr="000D562F">
          <w:rPr>
            <w:noProof/>
            <w:webHidden/>
          </w:rPr>
          <w:tab/>
        </w:r>
        <w:r w:rsidRPr="000D562F">
          <w:rPr>
            <w:noProof/>
            <w:webHidden/>
          </w:rPr>
          <w:fldChar w:fldCharType="begin"/>
        </w:r>
        <w:r w:rsidR="00394884" w:rsidRPr="000D562F">
          <w:rPr>
            <w:noProof/>
            <w:webHidden/>
          </w:rPr>
          <w:instrText xml:space="preserve"> PAGEREF _Toc290627285 \h </w:instrText>
        </w:r>
        <w:r w:rsidRPr="000D562F">
          <w:rPr>
            <w:noProof/>
            <w:webHidden/>
          </w:rPr>
        </w:r>
        <w:r w:rsidRPr="000D562F">
          <w:rPr>
            <w:noProof/>
            <w:webHidden/>
          </w:rPr>
          <w:fldChar w:fldCharType="separate"/>
        </w:r>
        <w:r w:rsidR="00677EA2">
          <w:rPr>
            <w:noProof/>
            <w:webHidden/>
          </w:rPr>
          <w:t>v</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286" w:history="1">
        <w:r w:rsidR="00394884" w:rsidRPr="000D562F">
          <w:rPr>
            <w:rStyle w:val="Hyperlink"/>
            <w:noProof/>
          </w:rPr>
          <w:t>Acknowledgements</w:t>
        </w:r>
        <w:r w:rsidR="00394884" w:rsidRPr="000D562F">
          <w:rPr>
            <w:noProof/>
            <w:webHidden/>
          </w:rPr>
          <w:tab/>
        </w:r>
        <w:r w:rsidRPr="000D562F">
          <w:rPr>
            <w:noProof/>
            <w:webHidden/>
          </w:rPr>
          <w:fldChar w:fldCharType="begin"/>
        </w:r>
        <w:r w:rsidR="00394884" w:rsidRPr="000D562F">
          <w:rPr>
            <w:noProof/>
            <w:webHidden/>
          </w:rPr>
          <w:instrText xml:space="preserve"> PAGEREF _Toc290627286 \h </w:instrText>
        </w:r>
        <w:r w:rsidRPr="000D562F">
          <w:rPr>
            <w:noProof/>
            <w:webHidden/>
          </w:rPr>
        </w:r>
        <w:r w:rsidRPr="000D562F">
          <w:rPr>
            <w:noProof/>
            <w:webHidden/>
          </w:rPr>
          <w:fldChar w:fldCharType="separate"/>
        </w:r>
        <w:r w:rsidR="00677EA2">
          <w:rPr>
            <w:noProof/>
            <w:webHidden/>
          </w:rPr>
          <w:t>v</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287" w:history="1">
        <w:r w:rsidR="00394884" w:rsidRPr="000D562F">
          <w:rPr>
            <w:rStyle w:val="Hyperlink"/>
            <w:noProof/>
          </w:rPr>
          <w:t>Abbreviations</w:t>
        </w:r>
        <w:r w:rsidR="00394884" w:rsidRPr="000D562F">
          <w:rPr>
            <w:noProof/>
            <w:webHidden/>
          </w:rPr>
          <w:tab/>
        </w:r>
        <w:r w:rsidRPr="000D562F">
          <w:rPr>
            <w:noProof/>
            <w:webHidden/>
          </w:rPr>
          <w:fldChar w:fldCharType="begin"/>
        </w:r>
        <w:r w:rsidR="00394884" w:rsidRPr="000D562F">
          <w:rPr>
            <w:noProof/>
            <w:webHidden/>
          </w:rPr>
          <w:instrText xml:space="preserve"> PAGEREF _Toc290627287 \h </w:instrText>
        </w:r>
        <w:r w:rsidRPr="000D562F">
          <w:rPr>
            <w:noProof/>
            <w:webHidden/>
          </w:rPr>
        </w:r>
        <w:r w:rsidRPr="000D562F">
          <w:rPr>
            <w:noProof/>
            <w:webHidden/>
          </w:rPr>
          <w:fldChar w:fldCharType="separate"/>
        </w:r>
        <w:r w:rsidR="00677EA2">
          <w:rPr>
            <w:noProof/>
            <w:webHidden/>
          </w:rPr>
          <w:t>vii</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288" w:history="1">
        <w:r w:rsidR="00394884" w:rsidRPr="000D562F">
          <w:rPr>
            <w:rStyle w:val="Hyperlink"/>
            <w:noProof/>
          </w:rPr>
          <w:t>Executive Summary</w:t>
        </w:r>
        <w:r w:rsidR="00394884" w:rsidRPr="000D562F">
          <w:rPr>
            <w:noProof/>
            <w:webHidden/>
          </w:rPr>
          <w:tab/>
        </w:r>
        <w:r w:rsidRPr="000D562F">
          <w:rPr>
            <w:noProof/>
            <w:webHidden/>
          </w:rPr>
          <w:fldChar w:fldCharType="begin"/>
        </w:r>
        <w:r w:rsidR="00394884" w:rsidRPr="000D562F">
          <w:rPr>
            <w:noProof/>
            <w:webHidden/>
          </w:rPr>
          <w:instrText xml:space="preserve"> PAGEREF _Toc290627288 \h </w:instrText>
        </w:r>
        <w:r w:rsidRPr="000D562F">
          <w:rPr>
            <w:noProof/>
            <w:webHidden/>
          </w:rPr>
        </w:r>
        <w:r w:rsidRPr="000D562F">
          <w:rPr>
            <w:noProof/>
            <w:webHidden/>
          </w:rPr>
          <w:fldChar w:fldCharType="separate"/>
        </w:r>
        <w:r w:rsidR="00677EA2">
          <w:rPr>
            <w:noProof/>
            <w:webHidden/>
          </w:rPr>
          <w:t>8</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289" w:history="1">
        <w:r w:rsidR="00394884" w:rsidRPr="000D562F">
          <w:rPr>
            <w:rStyle w:val="Hyperlink"/>
            <w:noProof/>
          </w:rPr>
          <w:t>A. Product Description</w:t>
        </w:r>
        <w:r w:rsidR="00394884" w:rsidRPr="000D562F">
          <w:rPr>
            <w:noProof/>
            <w:webHidden/>
          </w:rPr>
          <w:tab/>
        </w:r>
        <w:r w:rsidRPr="000D562F">
          <w:rPr>
            <w:noProof/>
            <w:webHidden/>
          </w:rPr>
          <w:fldChar w:fldCharType="begin"/>
        </w:r>
        <w:r w:rsidR="00394884" w:rsidRPr="000D562F">
          <w:rPr>
            <w:noProof/>
            <w:webHidden/>
          </w:rPr>
          <w:instrText xml:space="preserve"> PAGEREF _Toc290627289 \h </w:instrText>
        </w:r>
        <w:r w:rsidRPr="000D562F">
          <w:rPr>
            <w:noProof/>
            <w:webHidden/>
          </w:rPr>
        </w:r>
        <w:r w:rsidRPr="000D562F">
          <w:rPr>
            <w:noProof/>
            <w:webHidden/>
          </w:rPr>
          <w:fldChar w:fldCharType="separate"/>
        </w:r>
        <w:r w:rsidR="00677EA2">
          <w:rPr>
            <w:noProof/>
            <w:webHidden/>
          </w:rPr>
          <w:t>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0" w:history="1">
        <w:r w:rsidR="00394884" w:rsidRPr="000D562F">
          <w:rPr>
            <w:rStyle w:val="Hyperlink"/>
            <w:noProof/>
          </w:rPr>
          <w:t>Definition and description of product and its application(s)</w:t>
        </w:r>
        <w:r w:rsidR="00394884" w:rsidRPr="000D562F">
          <w:rPr>
            <w:noProof/>
            <w:webHidden/>
          </w:rPr>
          <w:tab/>
        </w:r>
        <w:r w:rsidRPr="000D562F">
          <w:rPr>
            <w:noProof/>
            <w:webHidden/>
          </w:rPr>
          <w:fldChar w:fldCharType="begin"/>
        </w:r>
        <w:r w:rsidR="00394884" w:rsidRPr="000D562F">
          <w:rPr>
            <w:noProof/>
            <w:webHidden/>
          </w:rPr>
          <w:instrText xml:space="preserve"> PAGEREF _Toc290627290 \h </w:instrText>
        </w:r>
        <w:r w:rsidRPr="000D562F">
          <w:rPr>
            <w:noProof/>
            <w:webHidden/>
          </w:rPr>
        </w:r>
        <w:r w:rsidRPr="000D562F">
          <w:rPr>
            <w:noProof/>
            <w:webHidden/>
          </w:rPr>
          <w:fldChar w:fldCharType="separate"/>
        </w:r>
        <w:r w:rsidR="00677EA2">
          <w:rPr>
            <w:noProof/>
            <w:webHidden/>
          </w:rPr>
          <w:t>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1" w:history="1">
        <w:r w:rsidR="00394884" w:rsidRPr="000D562F">
          <w:rPr>
            <w:rStyle w:val="Hyperlink"/>
            <w:noProof/>
          </w:rPr>
          <w:t>HS code, NTL(s) for importing country and NTL(s) for South Africa</w:t>
        </w:r>
        <w:r w:rsidR="00394884" w:rsidRPr="000D562F">
          <w:rPr>
            <w:noProof/>
            <w:webHidden/>
          </w:rPr>
          <w:tab/>
        </w:r>
        <w:r w:rsidRPr="000D562F">
          <w:rPr>
            <w:noProof/>
            <w:webHidden/>
          </w:rPr>
          <w:fldChar w:fldCharType="begin"/>
        </w:r>
        <w:r w:rsidR="00394884" w:rsidRPr="000D562F">
          <w:rPr>
            <w:noProof/>
            <w:webHidden/>
          </w:rPr>
          <w:instrText xml:space="preserve"> PAGEREF _Toc290627291 \h </w:instrText>
        </w:r>
        <w:r w:rsidRPr="000D562F">
          <w:rPr>
            <w:noProof/>
            <w:webHidden/>
          </w:rPr>
        </w:r>
        <w:r w:rsidRPr="000D562F">
          <w:rPr>
            <w:noProof/>
            <w:webHidden/>
          </w:rPr>
          <w:fldChar w:fldCharType="separate"/>
        </w:r>
        <w:r w:rsidR="00677EA2">
          <w:rPr>
            <w:noProof/>
            <w:webHidden/>
          </w:rPr>
          <w:t>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2" w:history="1">
        <w:r w:rsidR="00394884" w:rsidRPr="000D562F">
          <w:rPr>
            <w:rStyle w:val="Hyperlink"/>
            <w:noProof/>
          </w:rPr>
          <w:t>Production</w:t>
        </w:r>
        <w:r w:rsidR="00394884" w:rsidRPr="000D562F">
          <w:rPr>
            <w:noProof/>
            <w:webHidden/>
          </w:rPr>
          <w:tab/>
        </w:r>
        <w:r w:rsidRPr="000D562F">
          <w:rPr>
            <w:noProof/>
            <w:webHidden/>
          </w:rPr>
          <w:fldChar w:fldCharType="begin"/>
        </w:r>
        <w:r w:rsidR="00394884" w:rsidRPr="000D562F">
          <w:rPr>
            <w:noProof/>
            <w:webHidden/>
          </w:rPr>
          <w:instrText xml:space="preserve"> PAGEREF _Toc290627292 \h </w:instrText>
        </w:r>
        <w:r w:rsidRPr="000D562F">
          <w:rPr>
            <w:noProof/>
            <w:webHidden/>
          </w:rPr>
        </w:r>
        <w:r w:rsidRPr="000D562F">
          <w:rPr>
            <w:noProof/>
            <w:webHidden/>
          </w:rPr>
          <w:fldChar w:fldCharType="separate"/>
        </w:r>
        <w:r w:rsidR="00677EA2">
          <w:rPr>
            <w:noProof/>
            <w:webHidden/>
          </w:rPr>
          <w:t>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3" w:history="1">
        <w:r w:rsidR="00394884" w:rsidRPr="000D562F">
          <w:rPr>
            <w:rStyle w:val="Hyperlink"/>
            <w:noProof/>
          </w:rPr>
          <w:t>Consumption</w:t>
        </w:r>
        <w:r w:rsidR="00394884" w:rsidRPr="000D562F">
          <w:rPr>
            <w:noProof/>
            <w:webHidden/>
          </w:rPr>
          <w:tab/>
        </w:r>
        <w:r w:rsidRPr="000D562F">
          <w:rPr>
            <w:noProof/>
            <w:webHidden/>
          </w:rPr>
          <w:fldChar w:fldCharType="begin"/>
        </w:r>
        <w:r w:rsidR="00394884" w:rsidRPr="000D562F">
          <w:rPr>
            <w:noProof/>
            <w:webHidden/>
          </w:rPr>
          <w:instrText xml:space="preserve"> PAGEREF _Toc290627293 \h </w:instrText>
        </w:r>
        <w:r w:rsidRPr="000D562F">
          <w:rPr>
            <w:noProof/>
            <w:webHidden/>
          </w:rPr>
        </w:r>
        <w:r w:rsidRPr="000D562F">
          <w:rPr>
            <w:noProof/>
            <w:webHidden/>
          </w:rPr>
          <w:fldChar w:fldCharType="separate"/>
        </w:r>
        <w:r w:rsidR="00677EA2">
          <w:rPr>
            <w:noProof/>
            <w:webHidden/>
          </w:rPr>
          <w:t>11</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294" w:history="1">
        <w:r w:rsidR="00394884" w:rsidRPr="000D562F">
          <w:rPr>
            <w:rStyle w:val="Hyperlink"/>
            <w:noProof/>
          </w:rPr>
          <w:t>B. Foreign Trade and Potential Importing Markets</w:t>
        </w:r>
        <w:r w:rsidR="00394884" w:rsidRPr="000D562F">
          <w:rPr>
            <w:noProof/>
            <w:webHidden/>
          </w:rPr>
          <w:tab/>
        </w:r>
        <w:r w:rsidRPr="000D562F">
          <w:rPr>
            <w:noProof/>
            <w:webHidden/>
          </w:rPr>
          <w:fldChar w:fldCharType="begin"/>
        </w:r>
        <w:r w:rsidR="00394884" w:rsidRPr="000D562F">
          <w:rPr>
            <w:noProof/>
            <w:webHidden/>
          </w:rPr>
          <w:instrText xml:space="preserve"> PAGEREF _Toc290627294 \h </w:instrText>
        </w:r>
        <w:r w:rsidRPr="000D562F">
          <w:rPr>
            <w:noProof/>
            <w:webHidden/>
          </w:rPr>
        </w:r>
        <w:r w:rsidRPr="000D562F">
          <w:rPr>
            <w:noProof/>
            <w:webHidden/>
          </w:rPr>
          <w:fldChar w:fldCharType="separate"/>
        </w:r>
        <w:r w:rsidR="00677EA2">
          <w:rPr>
            <w:noProof/>
            <w:webHidden/>
          </w:rPr>
          <w:t>14</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5" w:history="1">
        <w:r w:rsidR="00394884" w:rsidRPr="000D562F">
          <w:rPr>
            <w:rStyle w:val="Hyperlink"/>
            <w:noProof/>
          </w:rPr>
          <w:t>Foreign Trade</w:t>
        </w:r>
        <w:r w:rsidR="00394884" w:rsidRPr="000D562F">
          <w:rPr>
            <w:noProof/>
            <w:webHidden/>
          </w:rPr>
          <w:tab/>
        </w:r>
        <w:r w:rsidRPr="000D562F">
          <w:rPr>
            <w:noProof/>
            <w:webHidden/>
          </w:rPr>
          <w:fldChar w:fldCharType="begin"/>
        </w:r>
        <w:r w:rsidR="00394884" w:rsidRPr="000D562F">
          <w:rPr>
            <w:noProof/>
            <w:webHidden/>
          </w:rPr>
          <w:instrText xml:space="preserve"> PAGEREF _Toc290627295 \h </w:instrText>
        </w:r>
        <w:r w:rsidRPr="000D562F">
          <w:rPr>
            <w:noProof/>
            <w:webHidden/>
          </w:rPr>
        </w:r>
        <w:r w:rsidRPr="000D562F">
          <w:rPr>
            <w:noProof/>
            <w:webHidden/>
          </w:rPr>
          <w:fldChar w:fldCharType="separate"/>
        </w:r>
        <w:r w:rsidR="00677EA2">
          <w:rPr>
            <w:noProof/>
            <w:webHidden/>
          </w:rPr>
          <w:t>14</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6" w:history="1">
        <w:r w:rsidR="00394884" w:rsidRPr="000D562F">
          <w:rPr>
            <w:rStyle w:val="Hyperlink"/>
            <w:noProof/>
          </w:rPr>
          <w:t>Potential Markets: market screening</w:t>
        </w:r>
        <w:r w:rsidR="00394884" w:rsidRPr="000D562F">
          <w:rPr>
            <w:noProof/>
            <w:webHidden/>
          </w:rPr>
          <w:tab/>
        </w:r>
        <w:r w:rsidRPr="000D562F">
          <w:rPr>
            <w:noProof/>
            <w:webHidden/>
          </w:rPr>
          <w:fldChar w:fldCharType="begin"/>
        </w:r>
        <w:r w:rsidR="00394884" w:rsidRPr="000D562F">
          <w:rPr>
            <w:noProof/>
            <w:webHidden/>
          </w:rPr>
          <w:instrText xml:space="preserve"> PAGEREF _Toc290627296 \h </w:instrText>
        </w:r>
        <w:r w:rsidRPr="000D562F">
          <w:rPr>
            <w:noProof/>
            <w:webHidden/>
          </w:rPr>
        </w:r>
        <w:r w:rsidRPr="000D562F">
          <w:rPr>
            <w:noProof/>
            <w:webHidden/>
          </w:rPr>
          <w:fldChar w:fldCharType="separate"/>
        </w:r>
        <w:r w:rsidR="00677EA2">
          <w:rPr>
            <w:noProof/>
            <w:webHidden/>
          </w:rPr>
          <w:t>15</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7" w:history="1">
        <w:r w:rsidR="00394884" w:rsidRPr="000D562F">
          <w:rPr>
            <w:rStyle w:val="Hyperlink"/>
            <w:noProof/>
          </w:rPr>
          <w:t>Rationale for the target market</w:t>
        </w:r>
        <w:r w:rsidR="00394884" w:rsidRPr="000D562F">
          <w:rPr>
            <w:noProof/>
            <w:webHidden/>
          </w:rPr>
          <w:tab/>
        </w:r>
        <w:r w:rsidRPr="000D562F">
          <w:rPr>
            <w:noProof/>
            <w:webHidden/>
          </w:rPr>
          <w:fldChar w:fldCharType="begin"/>
        </w:r>
        <w:r w:rsidR="00394884" w:rsidRPr="000D562F">
          <w:rPr>
            <w:noProof/>
            <w:webHidden/>
          </w:rPr>
          <w:instrText xml:space="preserve"> PAGEREF _Toc290627297 \h </w:instrText>
        </w:r>
        <w:r w:rsidRPr="000D562F">
          <w:rPr>
            <w:noProof/>
            <w:webHidden/>
          </w:rPr>
        </w:r>
        <w:r w:rsidRPr="000D562F">
          <w:rPr>
            <w:noProof/>
            <w:webHidden/>
          </w:rPr>
          <w:fldChar w:fldCharType="separate"/>
        </w:r>
        <w:r w:rsidR="00677EA2">
          <w:rPr>
            <w:noProof/>
            <w:webHidden/>
          </w:rPr>
          <w:t>15</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8" w:history="1">
        <w:r w:rsidR="00394884" w:rsidRPr="000D562F">
          <w:rPr>
            <w:rStyle w:val="Hyperlink"/>
            <w:noProof/>
          </w:rPr>
          <w:t>South Africa’s trade performance in target market</w:t>
        </w:r>
        <w:r w:rsidR="00394884" w:rsidRPr="000D562F">
          <w:rPr>
            <w:noProof/>
            <w:webHidden/>
          </w:rPr>
          <w:tab/>
        </w:r>
        <w:r w:rsidRPr="000D562F">
          <w:rPr>
            <w:noProof/>
            <w:webHidden/>
          </w:rPr>
          <w:fldChar w:fldCharType="begin"/>
        </w:r>
        <w:r w:rsidR="00394884" w:rsidRPr="000D562F">
          <w:rPr>
            <w:noProof/>
            <w:webHidden/>
          </w:rPr>
          <w:instrText xml:space="preserve"> PAGEREF _Toc290627298 \h </w:instrText>
        </w:r>
        <w:r w:rsidRPr="000D562F">
          <w:rPr>
            <w:noProof/>
            <w:webHidden/>
          </w:rPr>
        </w:r>
        <w:r w:rsidRPr="000D562F">
          <w:rPr>
            <w:noProof/>
            <w:webHidden/>
          </w:rPr>
          <w:fldChar w:fldCharType="separate"/>
        </w:r>
        <w:r w:rsidR="00677EA2">
          <w:rPr>
            <w:noProof/>
            <w:webHidden/>
          </w:rPr>
          <w:t>15</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299" w:history="1">
        <w:r w:rsidR="00394884" w:rsidRPr="000D562F">
          <w:rPr>
            <w:rStyle w:val="Hyperlink"/>
            <w:noProof/>
          </w:rPr>
          <w:t>Competition in the target market</w:t>
        </w:r>
        <w:r w:rsidR="00394884" w:rsidRPr="000D562F">
          <w:rPr>
            <w:noProof/>
            <w:webHidden/>
          </w:rPr>
          <w:tab/>
        </w:r>
        <w:r w:rsidRPr="000D562F">
          <w:rPr>
            <w:noProof/>
            <w:webHidden/>
          </w:rPr>
          <w:fldChar w:fldCharType="begin"/>
        </w:r>
        <w:r w:rsidR="00394884" w:rsidRPr="000D562F">
          <w:rPr>
            <w:noProof/>
            <w:webHidden/>
          </w:rPr>
          <w:instrText xml:space="preserve"> PAGEREF _Toc290627299 \h </w:instrText>
        </w:r>
        <w:r w:rsidRPr="000D562F">
          <w:rPr>
            <w:noProof/>
            <w:webHidden/>
          </w:rPr>
        </w:r>
        <w:r w:rsidRPr="000D562F">
          <w:rPr>
            <w:noProof/>
            <w:webHidden/>
          </w:rPr>
          <w:fldChar w:fldCharType="separate"/>
        </w:r>
        <w:r w:rsidR="00677EA2">
          <w:rPr>
            <w:noProof/>
            <w:webHidden/>
          </w:rPr>
          <w:t>15</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0" w:history="1">
        <w:r w:rsidR="00394884" w:rsidRPr="000D562F">
          <w:rPr>
            <w:rStyle w:val="Hyperlink"/>
            <w:noProof/>
          </w:rPr>
          <w:t>C. Panorama</w:t>
        </w:r>
        <w:r w:rsidR="00394884" w:rsidRPr="000D562F">
          <w:rPr>
            <w:noProof/>
            <w:webHidden/>
          </w:rPr>
          <w:tab/>
        </w:r>
        <w:r w:rsidRPr="000D562F">
          <w:rPr>
            <w:noProof/>
            <w:webHidden/>
          </w:rPr>
          <w:fldChar w:fldCharType="begin"/>
        </w:r>
        <w:r w:rsidR="00394884" w:rsidRPr="000D562F">
          <w:rPr>
            <w:noProof/>
            <w:webHidden/>
          </w:rPr>
          <w:instrText xml:space="preserve"> PAGEREF _Toc290627300 \h </w:instrText>
        </w:r>
        <w:r w:rsidRPr="000D562F">
          <w:rPr>
            <w:noProof/>
            <w:webHidden/>
          </w:rPr>
        </w:r>
        <w:r w:rsidRPr="000D562F">
          <w:rPr>
            <w:noProof/>
            <w:webHidden/>
          </w:rPr>
          <w:fldChar w:fldCharType="separate"/>
        </w:r>
        <w:r w:rsidR="00677EA2">
          <w:rPr>
            <w:noProof/>
            <w:webHidden/>
          </w:rPr>
          <w:t>17</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1" w:history="1">
        <w:r w:rsidR="00394884" w:rsidRPr="000D562F">
          <w:rPr>
            <w:rStyle w:val="Hyperlink"/>
            <w:noProof/>
          </w:rPr>
          <w:t>D. People</w:t>
        </w:r>
        <w:r w:rsidR="00394884" w:rsidRPr="000D562F">
          <w:rPr>
            <w:noProof/>
            <w:webHidden/>
          </w:rPr>
          <w:tab/>
        </w:r>
        <w:r w:rsidRPr="000D562F">
          <w:rPr>
            <w:noProof/>
            <w:webHidden/>
          </w:rPr>
          <w:fldChar w:fldCharType="begin"/>
        </w:r>
        <w:r w:rsidR="00394884" w:rsidRPr="000D562F">
          <w:rPr>
            <w:noProof/>
            <w:webHidden/>
          </w:rPr>
          <w:instrText xml:space="preserve"> PAGEREF _Toc290627301 \h </w:instrText>
        </w:r>
        <w:r w:rsidRPr="000D562F">
          <w:rPr>
            <w:noProof/>
            <w:webHidden/>
          </w:rPr>
        </w:r>
        <w:r w:rsidRPr="000D562F">
          <w:rPr>
            <w:noProof/>
            <w:webHidden/>
          </w:rPr>
          <w:fldChar w:fldCharType="separate"/>
        </w:r>
        <w:r w:rsidR="00677EA2">
          <w:rPr>
            <w:noProof/>
            <w:webHidden/>
          </w:rPr>
          <w:t>18</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2" w:history="1">
        <w:r w:rsidR="00394884" w:rsidRPr="000D562F">
          <w:rPr>
            <w:rStyle w:val="Hyperlink"/>
            <w:noProof/>
          </w:rPr>
          <w:t>E. Permission: Market Access</w:t>
        </w:r>
        <w:r w:rsidR="00394884" w:rsidRPr="000D562F">
          <w:rPr>
            <w:noProof/>
            <w:webHidden/>
          </w:rPr>
          <w:tab/>
        </w:r>
        <w:r w:rsidRPr="000D562F">
          <w:rPr>
            <w:noProof/>
            <w:webHidden/>
          </w:rPr>
          <w:fldChar w:fldCharType="begin"/>
        </w:r>
        <w:r w:rsidR="00394884" w:rsidRPr="000D562F">
          <w:rPr>
            <w:noProof/>
            <w:webHidden/>
          </w:rPr>
          <w:instrText xml:space="preserve"> PAGEREF _Toc290627302 \h </w:instrText>
        </w:r>
        <w:r w:rsidRPr="000D562F">
          <w:rPr>
            <w:noProof/>
            <w:webHidden/>
          </w:rPr>
        </w:r>
        <w:r w:rsidRPr="000D562F">
          <w:rPr>
            <w:noProof/>
            <w:webHidden/>
          </w:rPr>
          <w:fldChar w:fldCharType="separate"/>
        </w:r>
        <w:r w:rsidR="00677EA2">
          <w:rPr>
            <w:noProof/>
            <w:webHidden/>
          </w:rPr>
          <w:t>19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303" w:history="1">
        <w:r w:rsidR="00394884" w:rsidRPr="000D562F">
          <w:rPr>
            <w:rStyle w:val="Hyperlink"/>
            <w:noProof/>
          </w:rPr>
          <w:t>Tariffs</w:t>
        </w:r>
        <w:r w:rsidR="00394884" w:rsidRPr="000D562F">
          <w:rPr>
            <w:noProof/>
            <w:webHidden/>
          </w:rPr>
          <w:tab/>
        </w:r>
        <w:r w:rsidRPr="000D562F">
          <w:rPr>
            <w:noProof/>
            <w:webHidden/>
          </w:rPr>
          <w:fldChar w:fldCharType="begin"/>
        </w:r>
        <w:r w:rsidR="00394884" w:rsidRPr="000D562F">
          <w:rPr>
            <w:noProof/>
            <w:webHidden/>
          </w:rPr>
          <w:instrText xml:space="preserve"> PAGEREF _Toc290627303 \h </w:instrText>
        </w:r>
        <w:r w:rsidRPr="000D562F">
          <w:rPr>
            <w:noProof/>
            <w:webHidden/>
          </w:rPr>
        </w:r>
        <w:r w:rsidRPr="000D562F">
          <w:rPr>
            <w:noProof/>
            <w:webHidden/>
          </w:rPr>
          <w:fldChar w:fldCharType="separate"/>
        </w:r>
        <w:r w:rsidR="00677EA2">
          <w:rPr>
            <w:noProof/>
            <w:webHidden/>
          </w:rPr>
          <w:t>19</w:t>
        </w:r>
        <w:r w:rsidRPr="000D562F">
          <w:rPr>
            <w:noProof/>
            <w:webHidden/>
          </w:rPr>
          <w:fldChar w:fldCharType="end"/>
        </w:r>
      </w:hyperlink>
    </w:p>
    <w:p w:rsidR="00394884" w:rsidRPr="000D562F" w:rsidRDefault="00257806">
      <w:pPr>
        <w:pStyle w:val="TOC2"/>
        <w:tabs>
          <w:tab w:val="right" w:leader="dot" w:pos="9012"/>
        </w:tabs>
        <w:rPr>
          <w:rFonts w:asciiTheme="minorHAnsi" w:eastAsiaTheme="minorEastAsia" w:hAnsiTheme="minorHAnsi" w:cstheme="minorBidi"/>
          <w:noProof/>
          <w:sz w:val="22"/>
          <w:szCs w:val="22"/>
          <w:lang w:eastAsia="en-GB"/>
        </w:rPr>
      </w:pPr>
      <w:hyperlink w:anchor="_Toc290627304" w:history="1">
        <w:r w:rsidR="00394884" w:rsidRPr="000D562F">
          <w:rPr>
            <w:rStyle w:val="Hyperlink"/>
            <w:noProof/>
          </w:rPr>
          <w:t>Non-tariff measures</w:t>
        </w:r>
        <w:r w:rsidR="00394884" w:rsidRPr="000D562F">
          <w:rPr>
            <w:noProof/>
            <w:webHidden/>
          </w:rPr>
          <w:tab/>
        </w:r>
        <w:r w:rsidRPr="000D562F">
          <w:rPr>
            <w:noProof/>
            <w:webHidden/>
          </w:rPr>
          <w:fldChar w:fldCharType="begin"/>
        </w:r>
        <w:r w:rsidR="00394884" w:rsidRPr="000D562F">
          <w:rPr>
            <w:noProof/>
            <w:webHidden/>
          </w:rPr>
          <w:instrText xml:space="preserve"> PAGEREF _Toc290627304 \h </w:instrText>
        </w:r>
        <w:r w:rsidRPr="000D562F">
          <w:rPr>
            <w:noProof/>
            <w:webHidden/>
          </w:rPr>
        </w:r>
        <w:r w:rsidRPr="000D562F">
          <w:rPr>
            <w:noProof/>
            <w:webHidden/>
          </w:rPr>
          <w:fldChar w:fldCharType="separate"/>
        </w:r>
        <w:r w:rsidR="00677EA2">
          <w:rPr>
            <w:noProof/>
            <w:webHidden/>
          </w:rPr>
          <w:t>19</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5" w:history="1">
        <w:r w:rsidR="00394884" w:rsidRPr="000D562F">
          <w:rPr>
            <w:rStyle w:val="Hyperlink"/>
            <w:noProof/>
          </w:rPr>
          <w:t>F. Packaging and Labelling Regulations</w:t>
        </w:r>
        <w:r w:rsidR="00394884" w:rsidRPr="000D562F">
          <w:rPr>
            <w:noProof/>
            <w:webHidden/>
          </w:rPr>
          <w:tab/>
        </w:r>
        <w:r w:rsidRPr="000D562F">
          <w:rPr>
            <w:noProof/>
            <w:webHidden/>
          </w:rPr>
          <w:fldChar w:fldCharType="begin"/>
        </w:r>
        <w:r w:rsidR="00394884" w:rsidRPr="000D562F">
          <w:rPr>
            <w:noProof/>
            <w:webHidden/>
          </w:rPr>
          <w:instrText xml:space="preserve"> PAGEREF _Toc290627305 \h </w:instrText>
        </w:r>
        <w:r w:rsidRPr="000D562F">
          <w:rPr>
            <w:noProof/>
            <w:webHidden/>
          </w:rPr>
        </w:r>
        <w:r w:rsidRPr="000D562F">
          <w:rPr>
            <w:noProof/>
            <w:webHidden/>
          </w:rPr>
          <w:fldChar w:fldCharType="separate"/>
        </w:r>
        <w:r w:rsidR="00677EA2">
          <w:rPr>
            <w:noProof/>
            <w:webHidden/>
          </w:rPr>
          <w:t>21</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6" w:history="1">
        <w:r w:rsidR="00394884" w:rsidRPr="000D562F">
          <w:rPr>
            <w:rStyle w:val="Hyperlink"/>
            <w:noProof/>
          </w:rPr>
          <w:t>G. Prices</w:t>
        </w:r>
        <w:r w:rsidR="00394884" w:rsidRPr="000D562F">
          <w:rPr>
            <w:noProof/>
            <w:webHidden/>
          </w:rPr>
          <w:tab/>
        </w:r>
        <w:r w:rsidRPr="000D562F">
          <w:rPr>
            <w:noProof/>
            <w:webHidden/>
          </w:rPr>
          <w:fldChar w:fldCharType="begin"/>
        </w:r>
        <w:r w:rsidR="00394884" w:rsidRPr="000D562F">
          <w:rPr>
            <w:noProof/>
            <w:webHidden/>
          </w:rPr>
          <w:instrText xml:space="preserve"> PAGEREF _Toc290627306 \h </w:instrText>
        </w:r>
        <w:r w:rsidRPr="000D562F">
          <w:rPr>
            <w:noProof/>
            <w:webHidden/>
          </w:rPr>
        </w:r>
        <w:r w:rsidRPr="000D562F">
          <w:rPr>
            <w:noProof/>
            <w:webHidden/>
          </w:rPr>
          <w:fldChar w:fldCharType="separate"/>
        </w:r>
        <w:r w:rsidR="00677EA2">
          <w:rPr>
            <w:noProof/>
            <w:webHidden/>
          </w:rPr>
          <w:t>23</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7" w:history="1">
        <w:r w:rsidR="00394884" w:rsidRPr="000D562F">
          <w:rPr>
            <w:rStyle w:val="Hyperlink"/>
            <w:noProof/>
          </w:rPr>
          <w:t>H. Placement: Distribution Channels</w:t>
        </w:r>
        <w:r w:rsidR="00394884" w:rsidRPr="000D562F">
          <w:rPr>
            <w:noProof/>
            <w:webHidden/>
          </w:rPr>
          <w:tab/>
        </w:r>
        <w:r w:rsidRPr="000D562F">
          <w:rPr>
            <w:noProof/>
            <w:webHidden/>
          </w:rPr>
          <w:fldChar w:fldCharType="begin"/>
        </w:r>
        <w:r w:rsidR="00394884" w:rsidRPr="000D562F">
          <w:rPr>
            <w:noProof/>
            <w:webHidden/>
          </w:rPr>
          <w:instrText xml:space="preserve"> PAGEREF _Toc290627307 \h </w:instrText>
        </w:r>
        <w:r w:rsidRPr="000D562F">
          <w:rPr>
            <w:noProof/>
            <w:webHidden/>
          </w:rPr>
        </w:r>
        <w:r w:rsidRPr="000D562F">
          <w:rPr>
            <w:noProof/>
            <w:webHidden/>
          </w:rPr>
          <w:fldChar w:fldCharType="separate"/>
        </w:r>
        <w:r w:rsidR="00677EA2">
          <w:rPr>
            <w:noProof/>
            <w:webHidden/>
          </w:rPr>
          <w:t>25</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8" w:history="1">
        <w:r w:rsidR="00394884" w:rsidRPr="000D562F">
          <w:rPr>
            <w:rStyle w:val="Hyperlink"/>
            <w:noProof/>
          </w:rPr>
          <w:t>I.Promotion</w:t>
        </w:r>
        <w:r w:rsidR="00394884" w:rsidRPr="000D562F">
          <w:rPr>
            <w:noProof/>
            <w:webHidden/>
          </w:rPr>
          <w:tab/>
        </w:r>
        <w:r w:rsidRPr="000D562F">
          <w:rPr>
            <w:noProof/>
            <w:webHidden/>
          </w:rPr>
          <w:fldChar w:fldCharType="begin"/>
        </w:r>
        <w:r w:rsidR="00394884" w:rsidRPr="000D562F">
          <w:rPr>
            <w:noProof/>
            <w:webHidden/>
          </w:rPr>
          <w:instrText xml:space="preserve"> PAGEREF _Toc290627308 \h </w:instrText>
        </w:r>
        <w:r w:rsidRPr="000D562F">
          <w:rPr>
            <w:noProof/>
            <w:webHidden/>
          </w:rPr>
        </w:r>
        <w:r w:rsidRPr="000D562F">
          <w:rPr>
            <w:noProof/>
            <w:webHidden/>
          </w:rPr>
          <w:fldChar w:fldCharType="separate"/>
        </w:r>
        <w:r w:rsidR="00677EA2">
          <w:rPr>
            <w:noProof/>
            <w:webHidden/>
          </w:rPr>
          <w:t>26</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09" w:history="1">
        <w:r w:rsidR="00394884" w:rsidRPr="000D562F">
          <w:rPr>
            <w:rStyle w:val="Hyperlink"/>
            <w:noProof/>
          </w:rPr>
          <w:t>Annex 1: Market Attractiveness Table</w:t>
        </w:r>
        <w:r w:rsidR="00394884" w:rsidRPr="000D562F">
          <w:rPr>
            <w:noProof/>
            <w:webHidden/>
          </w:rPr>
          <w:tab/>
        </w:r>
        <w:r w:rsidRPr="000D562F">
          <w:rPr>
            <w:noProof/>
            <w:webHidden/>
          </w:rPr>
          <w:fldChar w:fldCharType="begin"/>
        </w:r>
        <w:r w:rsidR="00394884" w:rsidRPr="000D562F">
          <w:rPr>
            <w:noProof/>
            <w:webHidden/>
          </w:rPr>
          <w:instrText xml:space="preserve"> PAGEREF _Toc290627309 \h </w:instrText>
        </w:r>
        <w:r w:rsidRPr="000D562F">
          <w:rPr>
            <w:noProof/>
            <w:webHidden/>
          </w:rPr>
        </w:r>
        <w:r w:rsidRPr="000D562F">
          <w:rPr>
            <w:noProof/>
            <w:webHidden/>
          </w:rPr>
          <w:fldChar w:fldCharType="separate"/>
        </w:r>
        <w:r w:rsidR="00677EA2">
          <w:rPr>
            <w:noProof/>
            <w:webHidden/>
          </w:rPr>
          <w:t>27</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10" w:history="1">
        <w:r w:rsidR="00394884" w:rsidRPr="000D562F">
          <w:rPr>
            <w:rStyle w:val="Hyperlink"/>
            <w:noProof/>
          </w:rPr>
          <w:t>Annex 2: Potential Prospects</w:t>
        </w:r>
        <w:r w:rsidR="00394884" w:rsidRPr="000D562F">
          <w:rPr>
            <w:noProof/>
            <w:webHidden/>
          </w:rPr>
          <w:tab/>
        </w:r>
        <w:r w:rsidRPr="000D562F">
          <w:rPr>
            <w:noProof/>
            <w:webHidden/>
          </w:rPr>
          <w:fldChar w:fldCharType="begin"/>
        </w:r>
        <w:r w:rsidR="00394884" w:rsidRPr="000D562F">
          <w:rPr>
            <w:noProof/>
            <w:webHidden/>
          </w:rPr>
          <w:instrText xml:space="preserve"> PAGEREF _Toc290627310 \h </w:instrText>
        </w:r>
        <w:r w:rsidRPr="000D562F">
          <w:rPr>
            <w:noProof/>
            <w:webHidden/>
          </w:rPr>
        </w:r>
        <w:r w:rsidRPr="000D562F">
          <w:rPr>
            <w:noProof/>
            <w:webHidden/>
          </w:rPr>
          <w:fldChar w:fldCharType="separate"/>
        </w:r>
        <w:r w:rsidR="00677EA2">
          <w:rPr>
            <w:noProof/>
            <w:webHidden/>
          </w:rPr>
          <w:t>28</w:t>
        </w:r>
        <w:r w:rsidRPr="000D562F">
          <w:rPr>
            <w:noProof/>
            <w:webHidden/>
          </w:rPr>
          <w:fldChar w:fldCharType="end"/>
        </w:r>
      </w:hyperlink>
    </w:p>
    <w:p w:rsidR="00394884" w:rsidRPr="000D562F" w:rsidRDefault="00257806">
      <w:pPr>
        <w:pStyle w:val="TOC1"/>
        <w:rPr>
          <w:rFonts w:asciiTheme="minorHAnsi" w:eastAsiaTheme="minorEastAsia" w:hAnsiTheme="minorHAnsi" w:cstheme="minorBidi"/>
          <w:b w:val="0"/>
          <w:noProof/>
          <w:sz w:val="22"/>
          <w:szCs w:val="22"/>
          <w:lang w:eastAsia="en-GB"/>
        </w:rPr>
      </w:pPr>
      <w:hyperlink w:anchor="_Toc290627311" w:history="1">
        <w:r w:rsidR="00394884" w:rsidRPr="000D562F">
          <w:rPr>
            <w:rStyle w:val="Hyperlink"/>
            <w:noProof/>
          </w:rPr>
          <w:t xml:space="preserve">Annex 3:  </w:t>
        </w:r>
        <w:r w:rsidR="006B0EA8">
          <w:rPr>
            <w:rStyle w:val="Hyperlink"/>
            <w:noProof/>
          </w:rPr>
          <w:t>Non-tariff measures</w:t>
        </w:r>
        <w:r w:rsidR="00394884" w:rsidRPr="000D562F">
          <w:rPr>
            <w:noProof/>
            <w:webHidden/>
          </w:rPr>
          <w:tab/>
        </w:r>
        <w:r w:rsidRPr="000D562F">
          <w:rPr>
            <w:noProof/>
            <w:webHidden/>
          </w:rPr>
          <w:fldChar w:fldCharType="begin"/>
        </w:r>
        <w:r w:rsidR="00394884" w:rsidRPr="000D562F">
          <w:rPr>
            <w:noProof/>
            <w:webHidden/>
          </w:rPr>
          <w:instrText xml:space="preserve"> PAGEREF _Toc290627311 \h </w:instrText>
        </w:r>
        <w:r w:rsidRPr="000D562F">
          <w:rPr>
            <w:noProof/>
            <w:webHidden/>
          </w:rPr>
        </w:r>
        <w:r w:rsidRPr="000D562F">
          <w:rPr>
            <w:noProof/>
            <w:webHidden/>
          </w:rPr>
          <w:fldChar w:fldCharType="separate"/>
        </w:r>
        <w:r w:rsidR="00677EA2">
          <w:rPr>
            <w:noProof/>
            <w:webHidden/>
          </w:rPr>
          <w:t>17</w:t>
        </w:r>
        <w:r w:rsidRPr="000D562F">
          <w:rPr>
            <w:noProof/>
            <w:webHidden/>
          </w:rPr>
          <w:fldChar w:fldCharType="end"/>
        </w:r>
      </w:hyperlink>
    </w:p>
    <w:p w:rsidR="00394884" w:rsidRDefault="00257806">
      <w:pPr>
        <w:pStyle w:val="TOC1"/>
        <w:rPr>
          <w:noProof/>
        </w:rPr>
      </w:pPr>
      <w:hyperlink w:anchor="_Toc290627312" w:history="1">
        <w:r w:rsidR="00394884" w:rsidRPr="000D562F">
          <w:rPr>
            <w:rStyle w:val="Hyperlink"/>
            <w:noProof/>
          </w:rPr>
          <w:t>Annex 4:  List of Sources</w:t>
        </w:r>
        <w:r w:rsidR="00394884" w:rsidRPr="000D562F">
          <w:rPr>
            <w:noProof/>
            <w:webHidden/>
          </w:rPr>
          <w:tab/>
        </w:r>
        <w:r w:rsidRPr="000D562F">
          <w:rPr>
            <w:noProof/>
            <w:webHidden/>
          </w:rPr>
          <w:fldChar w:fldCharType="begin"/>
        </w:r>
        <w:r w:rsidR="00394884" w:rsidRPr="000D562F">
          <w:rPr>
            <w:noProof/>
            <w:webHidden/>
          </w:rPr>
          <w:instrText xml:space="preserve"> PAGEREF _Toc290627312 \h </w:instrText>
        </w:r>
        <w:r w:rsidRPr="000D562F">
          <w:rPr>
            <w:noProof/>
            <w:webHidden/>
          </w:rPr>
        </w:r>
        <w:r w:rsidRPr="000D562F">
          <w:rPr>
            <w:noProof/>
            <w:webHidden/>
          </w:rPr>
          <w:fldChar w:fldCharType="separate"/>
        </w:r>
        <w:r w:rsidR="00677EA2">
          <w:rPr>
            <w:noProof/>
            <w:webHidden/>
          </w:rPr>
          <w:t>18</w:t>
        </w:r>
        <w:r w:rsidRPr="000D562F">
          <w:rPr>
            <w:noProof/>
            <w:webHidden/>
          </w:rPr>
          <w:fldChar w:fldCharType="end"/>
        </w:r>
      </w:hyperlink>
    </w:p>
    <w:p w:rsidR="008013C9" w:rsidRPr="008013C9" w:rsidRDefault="008013C9" w:rsidP="008013C9">
      <w:pPr>
        <w:rPr>
          <w:rFonts w:eastAsiaTheme="minorEastAsia"/>
          <w:noProof/>
        </w:rPr>
      </w:pPr>
    </w:p>
    <w:p w:rsidR="006C3289" w:rsidRPr="000D562F" w:rsidRDefault="00257806">
      <w:pPr>
        <w:spacing w:line="480" w:lineRule="auto"/>
        <w:rPr>
          <w:rFonts w:cs="Arial"/>
          <w:sz w:val="20"/>
          <w:szCs w:val="20"/>
        </w:rPr>
      </w:pPr>
      <w:r w:rsidRPr="000D562F">
        <w:rPr>
          <w:rFonts w:cs="Arial"/>
          <w:bCs/>
          <w:sz w:val="20"/>
          <w:szCs w:val="20"/>
        </w:rPr>
        <w:fldChar w:fldCharType="end"/>
      </w:r>
      <w:r w:rsidR="00235D21" w:rsidRPr="000D562F">
        <w:rPr>
          <w:rFonts w:cs="Arial"/>
          <w:sz w:val="20"/>
          <w:szCs w:val="20"/>
        </w:rPr>
        <w:br w:type="page"/>
      </w:r>
    </w:p>
    <w:p w:rsidR="006C3289" w:rsidRPr="000D562F" w:rsidRDefault="00235D21">
      <w:pPr>
        <w:pStyle w:val="Heading1"/>
        <w:spacing w:line="360" w:lineRule="auto"/>
        <w:rPr>
          <w:sz w:val="20"/>
          <w:szCs w:val="20"/>
        </w:rPr>
      </w:pPr>
      <w:bookmarkStart w:id="4" w:name="_Toc290627287"/>
      <w:r w:rsidRPr="000D562F">
        <w:rPr>
          <w:sz w:val="20"/>
          <w:szCs w:val="20"/>
        </w:rPr>
        <w:lastRenderedPageBreak/>
        <w:t>Abbreviations</w:t>
      </w:r>
      <w:bookmarkEnd w:id="4"/>
    </w:p>
    <w:p w:rsidR="006C3289" w:rsidRPr="000D562F" w:rsidRDefault="006C3289">
      <w:pPr>
        <w:spacing w:line="360" w:lineRule="auto"/>
        <w:rPr>
          <w:rFonts w:cs="Arial"/>
          <w:sz w:val="20"/>
          <w:szCs w:val="20"/>
        </w:rPr>
      </w:pPr>
    </w:p>
    <w:p w:rsidR="006C3289" w:rsidRPr="000D562F" w:rsidRDefault="00235D21">
      <w:pPr>
        <w:spacing w:line="360" w:lineRule="auto"/>
        <w:rPr>
          <w:rFonts w:cs="Arial"/>
          <w:sz w:val="20"/>
          <w:szCs w:val="20"/>
        </w:rPr>
      </w:pPr>
      <w:r w:rsidRPr="000D562F">
        <w:rPr>
          <w:rFonts w:cs="Arial"/>
          <w:sz w:val="20"/>
          <w:szCs w:val="20"/>
        </w:rPr>
        <w:t xml:space="preserve">HS  </w:t>
      </w:r>
      <w:r w:rsidRPr="000D562F">
        <w:rPr>
          <w:rFonts w:cs="Arial"/>
          <w:sz w:val="20"/>
          <w:szCs w:val="20"/>
        </w:rPr>
        <w:tab/>
      </w:r>
      <w:r w:rsidRPr="000D562F">
        <w:rPr>
          <w:rFonts w:cs="Arial"/>
          <w:sz w:val="20"/>
          <w:szCs w:val="20"/>
        </w:rPr>
        <w:tab/>
      </w:r>
      <w:r w:rsidRPr="000D562F">
        <w:rPr>
          <w:rFonts w:cs="Arial"/>
          <w:sz w:val="20"/>
          <w:szCs w:val="20"/>
        </w:rPr>
        <w:tab/>
        <w:t>Harmonized System</w:t>
      </w:r>
    </w:p>
    <w:p w:rsidR="006C3289" w:rsidRPr="000D562F" w:rsidRDefault="00235D21">
      <w:pPr>
        <w:spacing w:line="360" w:lineRule="auto"/>
        <w:rPr>
          <w:rFonts w:cs="Arial"/>
          <w:sz w:val="20"/>
          <w:szCs w:val="20"/>
        </w:rPr>
      </w:pPr>
      <w:r w:rsidRPr="000D562F">
        <w:rPr>
          <w:rFonts w:cs="Arial"/>
          <w:sz w:val="20"/>
          <w:szCs w:val="20"/>
        </w:rPr>
        <w:t xml:space="preserve">WCO  </w:t>
      </w:r>
      <w:r w:rsidRPr="000D562F">
        <w:rPr>
          <w:rFonts w:cs="Arial"/>
          <w:sz w:val="20"/>
          <w:szCs w:val="20"/>
        </w:rPr>
        <w:tab/>
      </w:r>
      <w:r w:rsidRPr="000D562F">
        <w:rPr>
          <w:rFonts w:cs="Arial"/>
          <w:sz w:val="20"/>
          <w:szCs w:val="20"/>
        </w:rPr>
        <w:tab/>
      </w:r>
      <w:r w:rsidRPr="000D562F">
        <w:rPr>
          <w:rFonts w:cs="Arial"/>
          <w:sz w:val="20"/>
          <w:szCs w:val="20"/>
        </w:rPr>
        <w:tab/>
        <w:t>World Customs Organization</w:t>
      </w:r>
    </w:p>
    <w:p w:rsidR="006C3289" w:rsidRPr="000D562F" w:rsidRDefault="00235D21">
      <w:pPr>
        <w:spacing w:line="360" w:lineRule="auto"/>
        <w:rPr>
          <w:rFonts w:cs="Arial"/>
          <w:sz w:val="20"/>
          <w:szCs w:val="20"/>
        </w:rPr>
      </w:pPr>
      <w:r w:rsidRPr="000D562F">
        <w:rPr>
          <w:rFonts w:cs="Arial"/>
          <w:sz w:val="20"/>
          <w:szCs w:val="20"/>
        </w:rPr>
        <w:t xml:space="preserve">LB  </w:t>
      </w:r>
      <w:r w:rsidRPr="000D562F">
        <w:rPr>
          <w:rFonts w:cs="Arial"/>
          <w:sz w:val="20"/>
          <w:szCs w:val="20"/>
        </w:rPr>
        <w:tab/>
      </w:r>
      <w:r w:rsidRPr="000D562F">
        <w:rPr>
          <w:rFonts w:cs="Arial"/>
          <w:sz w:val="20"/>
          <w:szCs w:val="20"/>
        </w:rPr>
        <w:tab/>
      </w:r>
      <w:r w:rsidRPr="000D562F">
        <w:rPr>
          <w:rFonts w:cs="Arial"/>
          <w:sz w:val="20"/>
          <w:szCs w:val="20"/>
        </w:rPr>
        <w:tab/>
        <w:t>Pounds</w:t>
      </w:r>
    </w:p>
    <w:p w:rsidR="006C3289" w:rsidRPr="000D562F" w:rsidRDefault="00235D21">
      <w:pPr>
        <w:spacing w:line="360" w:lineRule="auto"/>
        <w:rPr>
          <w:rFonts w:cs="Arial"/>
          <w:sz w:val="20"/>
          <w:szCs w:val="20"/>
        </w:rPr>
      </w:pPr>
      <w:r w:rsidRPr="000D562F">
        <w:rPr>
          <w:rFonts w:cs="Arial"/>
          <w:sz w:val="20"/>
          <w:szCs w:val="20"/>
        </w:rPr>
        <w:t xml:space="preserve">HTS  </w:t>
      </w:r>
      <w:r w:rsidRPr="000D562F">
        <w:rPr>
          <w:rFonts w:cs="Arial"/>
          <w:sz w:val="20"/>
          <w:szCs w:val="20"/>
        </w:rPr>
        <w:tab/>
      </w:r>
      <w:r w:rsidRPr="000D562F">
        <w:rPr>
          <w:rFonts w:cs="Arial"/>
          <w:sz w:val="20"/>
          <w:szCs w:val="20"/>
        </w:rPr>
        <w:tab/>
      </w:r>
      <w:r w:rsidRPr="000D562F">
        <w:rPr>
          <w:rFonts w:cs="Arial"/>
          <w:sz w:val="20"/>
          <w:szCs w:val="20"/>
        </w:rPr>
        <w:tab/>
        <w:t>Harmonized Tariff Schedule</w:t>
      </w:r>
    </w:p>
    <w:p w:rsidR="006C3289" w:rsidRPr="000D562F" w:rsidRDefault="00235D21">
      <w:pPr>
        <w:spacing w:line="360" w:lineRule="auto"/>
        <w:rPr>
          <w:rFonts w:cs="Arial"/>
          <w:sz w:val="20"/>
          <w:szCs w:val="20"/>
        </w:rPr>
      </w:pPr>
      <w:r w:rsidRPr="000D562F">
        <w:rPr>
          <w:rFonts w:cs="Arial"/>
          <w:sz w:val="20"/>
          <w:szCs w:val="20"/>
        </w:rPr>
        <w:t xml:space="preserve">AMS  </w:t>
      </w:r>
      <w:r w:rsidRPr="000D562F">
        <w:rPr>
          <w:rFonts w:cs="Arial"/>
          <w:sz w:val="20"/>
          <w:szCs w:val="20"/>
        </w:rPr>
        <w:tab/>
      </w:r>
      <w:r w:rsidRPr="000D562F">
        <w:rPr>
          <w:rFonts w:cs="Arial"/>
          <w:sz w:val="20"/>
          <w:szCs w:val="20"/>
        </w:rPr>
        <w:tab/>
      </w:r>
      <w:r w:rsidRPr="000D562F">
        <w:rPr>
          <w:rFonts w:cs="Arial"/>
          <w:sz w:val="20"/>
          <w:szCs w:val="20"/>
        </w:rPr>
        <w:tab/>
        <w:t>Agricultural Marketing Service</w:t>
      </w:r>
    </w:p>
    <w:p w:rsidR="00442A56" w:rsidRPr="00323547" w:rsidRDefault="00235D21">
      <w:pPr>
        <w:spacing w:line="360" w:lineRule="auto"/>
        <w:rPr>
          <w:rFonts w:cs="Arial"/>
          <w:sz w:val="20"/>
          <w:szCs w:val="20"/>
        </w:rPr>
      </w:pPr>
      <w:r w:rsidRPr="000D562F">
        <w:rPr>
          <w:rFonts w:cs="Arial"/>
          <w:sz w:val="20"/>
          <w:szCs w:val="20"/>
        </w:rPr>
        <w:t xml:space="preserve">FDA  </w:t>
      </w:r>
      <w:r w:rsidRPr="000D562F">
        <w:rPr>
          <w:rFonts w:cs="Arial"/>
          <w:sz w:val="20"/>
          <w:szCs w:val="20"/>
        </w:rPr>
        <w:tab/>
      </w:r>
      <w:r w:rsidRPr="000D562F">
        <w:rPr>
          <w:rFonts w:cs="Arial"/>
          <w:sz w:val="20"/>
          <w:szCs w:val="20"/>
        </w:rPr>
        <w:tab/>
      </w:r>
      <w:r w:rsidRPr="000D562F">
        <w:rPr>
          <w:rFonts w:cs="Arial"/>
          <w:sz w:val="20"/>
          <w:szCs w:val="20"/>
        </w:rPr>
        <w:tab/>
        <w:t>Food and drug Administration</w:t>
      </w:r>
    </w:p>
    <w:p w:rsidR="004C0035" w:rsidRPr="004C0035" w:rsidRDefault="004C0035" w:rsidP="004C0035">
      <w:pPr>
        <w:spacing w:line="360" w:lineRule="auto"/>
      </w:pPr>
      <w:r w:rsidRPr="004C0035">
        <w:rPr>
          <w:sz w:val="20"/>
          <w:szCs w:val="20"/>
        </w:rPr>
        <w:t>USDA</w:t>
      </w:r>
      <w:r>
        <w:rPr>
          <w:sz w:val="20"/>
          <w:szCs w:val="20"/>
        </w:rPr>
        <w:tab/>
      </w:r>
      <w:r>
        <w:rPr>
          <w:sz w:val="20"/>
          <w:szCs w:val="20"/>
        </w:rPr>
        <w:tab/>
      </w:r>
      <w:r>
        <w:rPr>
          <w:sz w:val="20"/>
          <w:szCs w:val="20"/>
        </w:rPr>
        <w:tab/>
        <w:t>United States Department of Agriculture</w:t>
      </w:r>
    </w:p>
    <w:p w:rsidR="004C0035" w:rsidRPr="004C0035" w:rsidRDefault="004C0035" w:rsidP="004C0035">
      <w:pPr>
        <w:spacing w:line="360" w:lineRule="auto"/>
      </w:pPr>
      <w:r w:rsidRPr="004C0035">
        <w:rPr>
          <w:rFonts w:cs="Arial"/>
          <w:iCs/>
          <w:sz w:val="20"/>
          <w:szCs w:val="20"/>
        </w:rPr>
        <w:t>ITC</w:t>
      </w:r>
      <w:r>
        <w:rPr>
          <w:rFonts w:cs="Arial"/>
          <w:iCs/>
          <w:sz w:val="20"/>
          <w:szCs w:val="20"/>
        </w:rPr>
        <w:tab/>
      </w:r>
      <w:r>
        <w:rPr>
          <w:rFonts w:cs="Arial"/>
          <w:iCs/>
          <w:sz w:val="20"/>
          <w:szCs w:val="20"/>
        </w:rPr>
        <w:tab/>
      </w:r>
      <w:r>
        <w:rPr>
          <w:rFonts w:cs="Arial"/>
          <w:iCs/>
          <w:sz w:val="20"/>
          <w:szCs w:val="20"/>
        </w:rPr>
        <w:tab/>
        <w:t>International Trade Center</w:t>
      </w:r>
    </w:p>
    <w:p w:rsidR="004C0035" w:rsidRPr="004C0035" w:rsidRDefault="004C0035" w:rsidP="004C0035">
      <w:pPr>
        <w:spacing w:line="360" w:lineRule="auto"/>
      </w:pPr>
      <w:r w:rsidRPr="004C0035">
        <w:rPr>
          <w:sz w:val="20"/>
          <w:szCs w:val="20"/>
        </w:rPr>
        <w:t>UK</w:t>
      </w:r>
      <w:r>
        <w:rPr>
          <w:sz w:val="20"/>
          <w:szCs w:val="20"/>
        </w:rPr>
        <w:tab/>
      </w:r>
      <w:r>
        <w:rPr>
          <w:sz w:val="20"/>
          <w:szCs w:val="20"/>
        </w:rPr>
        <w:tab/>
      </w:r>
      <w:r>
        <w:rPr>
          <w:sz w:val="20"/>
          <w:szCs w:val="20"/>
        </w:rPr>
        <w:tab/>
        <w:t>United Kingdom</w:t>
      </w:r>
    </w:p>
    <w:p w:rsidR="004C0035" w:rsidRPr="004C0035" w:rsidRDefault="004C0035" w:rsidP="004C0035">
      <w:pPr>
        <w:spacing w:line="360" w:lineRule="auto"/>
      </w:pPr>
      <w:r w:rsidRPr="004C0035">
        <w:rPr>
          <w:sz w:val="20"/>
          <w:szCs w:val="20"/>
        </w:rPr>
        <w:t>PEST</w:t>
      </w:r>
      <w:r>
        <w:rPr>
          <w:sz w:val="20"/>
          <w:szCs w:val="20"/>
        </w:rPr>
        <w:tab/>
      </w:r>
      <w:r>
        <w:rPr>
          <w:sz w:val="20"/>
          <w:szCs w:val="20"/>
        </w:rPr>
        <w:tab/>
      </w:r>
      <w:r>
        <w:rPr>
          <w:sz w:val="20"/>
          <w:szCs w:val="20"/>
        </w:rPr>
        <w:tab/>
        <w:t>Political, Economic, Social and Technology analysis</w:t>
      </w:r>
    </w:p>
    <w:p w:rsidR="004C0035" w:rsidRPr="004C0035" w:rsidRDefault="004C0035" w:rsidP="004C0035">
      <w:pPr>
        <w:spacing w:line="360" w:lineRule="auto"/>
      </w:pPr>
      <w:r w:rsidRPr="004C0035">
        <w:rPr>
          <w:rFonts w:cs="Arial"/>
          <w:sz w:val="20"/>
          <w:szCs w:val="20"/>
        </w:rPr>
        <w:t>UN</w:t>
      </w:r>
      <w:r>
        <w:rPr>
          <w:rFonts w:cs="Arial"/>
          <w:sz w:val="20"/>
          <w:szCs w:val="20"/>
        </w:rPr>
        <w:tab/>
      </w:r>
      <w:r>
        <w:rPr>
          <w:rFonts w:cs="Arial"/>
          <w:sz w:val="20"/>
          <w:szCs w:val="20"/>
        </w:rPr>
        <w:tab/>
      </w:r>
      <w:r>
        <w:rPr>
          <w:rFonts w:cs="Arial"/>
          <w:sz w:val="20"/>
          <w:szCs w:val="20"/>
        </w:rPr>
        <w:tab/>
        <w:t>United Nation</w:t>
      </w:r>
    </w:p>
    <w:p w:rsidR="004C0035" w:rsidRPr="004C0035" w:rsidRDefault="004C0035" w:rsidP="004C0035">
      <w:pPr>
        <w:spacing w:line="360" w:lineRule="auto"/>
        <w:rPr>
          <w:i/>
          <w:sz w:val="20"/>
          <w:szCs w:val="20"/>
        </w:rPr>
      </w:pPr>
      <w:r w:rsidRPr="004C0035">
        <w:rPr>
          <w:rFonts w:cs="Arial"/>
          <w:sz w:val="20"/>
          <w:szCs w:val="20"/>
        </w:rPr>
        <w:t>NATO</w:t>
      </w:r>
      <w:r>
        <w:rPr>
          <w:rFonts w:cs="Arial"/>
          <w:sz w:val="20"/>
          <w:szCs w:val="20"/>
        </w:rPr>
        <w:tab/>
      </w:r>
      <w:r>
        <w:rPr>
          <w:rFonts w:cs="Arial"/>
          <w:sz w:val="20"/>
          <w:szCs w:val="20"/>
        </w:rPr>
        <w:tab/>
      </w:r>
      <w:r>
        <w:rPr>
          <w:rFonts w:cs="Arial"/>
          <w:sz w:val="20"/>
          <w:szCs w:val="20"/>
        </w:rPr>
        <w:tab/>
      </w:r>
      <w:r w:rsidRPr="004C0035">
        <w:rPr>
          <w:rStyle w:val="Emphasis"/>
          <w:i w:val="0"/>
          <w:sz w:val="20"/>
          <w:szCs w:val="20"/>
        </w:rPr>
        <w:t>North Atlantic Treaty Organization</w:t>
      </w:r>
    </w:p>
    <w:p w:rsidR="004C0035" w:rsidRPr="004C0035" w:rsidRDefault="004C0035" w:rsidP="004C0035">
      <w:pPr>
        <w:spacing w:line="360" w:lineRule="auto"/>
      </w:pPr>
      <w:r w:rsidRPr="004C0035">
        <w:rPr>
          <w:rFonts w:cs="Arial"/>
          <w:sz w:val="20"/>
          <w:szCs w:val="20"/>
        </w:rPr>
        <w:t>CIA</w:t>
      </w:r>
      <w:r>
        <w:rPr>
          <w:rFonts w:cs="Arial"/>
          <w:sz w:val="20"/>
          <w:szCs w:val="20"/>
        </w:rPr>
        <w:tab/>
      </w:r>
      <w:r>
        <w:rPr>
          <w:rFonts w:cs="Arial"/>
          <w:sz w:val="20"/>
          <w:szCs w:val="20"/>
        </w:rPr>
        <w:tab/>
      </w:r>
      <w:r>
        <w:rPr>
          <w:rFonts w:cs="Arial"/>
          <w:sz w:val="20"/>
          <w:szCs w:val="20"/>
        </w:rPr>
        <w:tab/>
        <w:t>Central Intelligence Agency</w:t>
      </w:r>
    </w:p>
    <w:p w:rsidR="004C0035" w:rsidRPr="004C0035" w:rsidRDefault="004C0035" w:rsidP="004C0035">
      <w:pPr>
        <w:spacing w:line="360" w:lineRule="auto"/>
      </w:pPr>
      <w:r w:rsidRPr="004C0035">
        <w:rPr>
          <w:rFonts w:cs="Arial"/>
          <w:sz w:val="20"/>
          <w:szCs w:val="20"/>
        </w:rPr>
        <w:t>EU</w:t>
      </w:r>
      <w:r>
        <w:rPr>
          <w:rFonts w:cs="Arial"/>
          <w:sz w:val="20"/>
          <w:szCs w:val="20"/>
        </w:rPr>
        <w:tab/>
      </w:r>
      <w:r>
        <w:rPr>
          <w:rFonts w:cs="Arial"/>
          <w:sz w:val="20"/>
          <w:szCs w:val="20"/>
        </w:rPr>
        <w:tab/>
      </w:r>
      <w:r>
        <w:rPr>
          <w:rFonts w:cs="Arial"/>
          <w:sz w:val="20"/>
          <w:szCs w:val="20"/>
        </w:rPr>
        <w:tab/>
        <w:t>European Union</w:t>
      </w:r>
    </w:p>
    <w:p w:rsidR="004C0035" w:rsidRPr="004C0035" w:rsidRDefault="004C0035" w:rsidP="004C0035">
      <w:pPr>
        <w:spacing w:line="360" w:lineRule="auto"/>
      </w:pPr>
      <w:r w:rsidRPr="004C0035">
        <w:rPr>
          <w:bCs/>
          <w:sz w:val="20"/>
          <w:szCs w:val="20"/>
          <w:lang w:val="en-ZA"/>
        </w:rPr>
        <w:t>TDCA</w:t>
      </w:r>
      <w:r>
        <w:rPr>
          <w:bCs/>
          <w:sz w:val="20"/>
          <w:szCs w:val="20"/>
          <w:lang w:val="en-ZA"/>
        </w:rPr>
        <w:tab/>
      </w:r>
      <w:r>
        <w:rPr>
          <w:bCs/>
          <w:sz w:val="20"/>
          <w:szCs w:val="20"/>
          <w:lang w:val="en-ZA"/>
        </w:rPr>
        <w:tab/>
      </w:r>
      <w:r>
        <w:rPr>
          <w:bCs/>
          <w:sz w:val="20"/>
          <w:szCs w:val="20"/>
          <w:lang w:val="en-ZA"/>
        </w:rPr>
        <w:tab/>
        <w:t>Agreement on Trade, Development, and Cooperation</w:t>
      </w:r>
    </w:p>
    <w:p w:rsidR="004C0035" w:rsidRPr="004C0035" w:rsidRDefault="004C0035" w:rsidP="004C0035">
      <w:pPr>
        <w:spacing w:line="360" w:lineRule="auto"/>
      </w:pPr>
      <w:r w:rsidRPr="004C0035">
        <w:rPr>
          <w:bCs/>
          <w:sz w:val="20"/>
          <w:szCs w:val="20"/>
          <w:lang w:val="en-ZA"/>
        </w:rPr>
        <w:t>GSP</w:t>
      </w:r>
      <w:r>
        <w:rPr>
          <w:bCs/>
          <w:sz w:val="20"/>
          <w:szCs w:val="20"/>
          <w:lang w:val="en-ZA"/>
        </w:rPr>
        <w:tab/>
      </w:r>
      <w:r>
        <w:rPr>
          <w:bCs/>
          <w:sz w:val="20"/>
          <w:szCs w:val="20"/>
          <w:lang w:val="en-ZA"/>
        </w:rPr>
        <w:tab/>
      </w:r>
      <w:r>
        <w:rPr>
          <w:bCs/>
          <w:sz w:val="20"/>
          <w:szCs w:val="20"/>
          <w:lang w:val="en-ZA"/>
        </w:rPr>
        <w:tab/>
        <w:t>General System of Preference</w:t>
      </w:r>
    </w:p>
    <w:p w:rsidR="004C0035" w:rsidRPr="004C0035" w:rsidRDefault="004C0035" w:rsidP="004C0035">
      <w:pPr>
        <w:spacing w:line="360" w:lineRule="auto"/>
      </w:pPr>
      <w:r w:rsidRPr="004C0035">
        <w:rPr>
          <w:bCs/>
          <w:sz w:val="20"/>
          <w:szCs w:val="20"/>
          <w:lang w:val="en-ZA"/>
        </w:rPr>
        <w:t>WTO</w:t>
      </w:r>
      <w:r>
        <w:rPr>
          <w:bCs/>
          <w:sz w:val="20"/>
          <w:szCs w:val="20"/>
          <w:lang w:val="en-ZA"/>
        </w:rPr>
        <w:tab/>
      </w:r>
      <w:r>
        <w:rPr>
          <w:bCs/>
          <w:sz w:val="20"/>
          <w:szCs w:val="20"/>
          <w:lang w:val="en-ZA"/>
        </w:rPr>
        <w:tab/>
      </w:r>
      <w:r>
        <w:rPr>
          <w:bCs/>
          <w:sz w:val="20"/>
          <w:szCs w:val="20"/>
          <w:lang w:val="en-ZA"/>
        </w:rPr>
        <w:tab/>
        <w:t>World Trade Organisation</w:t>
      </w:r>
    </w:p>
    <w:p w:rsidR="004C0035" w:rsidRPr="004C0035" w:rsidRDefault="004C0035" w:rsidP="004C0035">
      <w:pPr>
        <w:spacing w:line="360" w:lineRule="auto"/>
      </w:pPr>
      <w:r w:rsidRPr="004C0035">
        <w:rPr>
          <w:sz w:val="20"/>
          <w:szCs w:val="20"/>
        </w:rPr>
        <w:t>FSA</w:t>
      </w:r>
      <w:r>
        <w:rPr>
          <w:sz w:val="20"/>
          <w:szCs w:val="20"/>
        </w:rPr>
        <w:tab/>
      </w:r>
      <w:r>
        <w:rPr>
          <w:sz w:val="20"/>
          <w:szCs w:val="20"/>
        </w:rPr>
        <w:tab/>
      </w:r>
      <w:r>
        <w:rPr>
          <w:sz w:val="20"/>
          <w:szCs w:val="20"/>
        </w:rPr>
        <w:tab/>
        <w:t>Food Safety Agency</w:t>
      </w:r>
    </w:p>
    <w:p w:rsidR="004C0035" w:rsidRPr="004C0035" w:rsidRDefault="004C0035" w:rsidP="004C0035">
      <w:pPr>
        <w:spacing w:line="360" w:lineRule="auto"/>
        <w:rPr>
          <w:color w:val="000000"/>
          <w:sz w:val="20"/>
          <w:szCs w:val="20"/>
          <w:u w:val="single"/>
        </w:rPr>
      </w:pPr>
      <w:r w:rsidRPr="004C0035">
        <w:rPr>
          <w:color w:val="000000"/>
          <w:sz w:val="20"/>
          <w:szCs w:val="20"/>
        </w:rPr>
        <w:t>HSE</w:t>
      </w:r>
      <w:r>
        <w:rPr>
          <w:color w:val="000000"/>
          <w:sz w:val="20"/>
          <w:szCs w:val="20"/>
        </w:rPr>
        <w:tab/>
      </w:r>
      <w:r>
        <w:rPr>
          <w:color w:val="000000"/>
          <w:sz w:val="20"/>
          <w:szCs w:val="20"/>
        </w:rPr>
        <w:tab/>
      </w:r>
      <w:r>
        <w:rPr>
          <w:color w:val="000000"/>
          <w:sz w:val="20"/>
          <w:szCs w:val="20"/>
        </w:rPr>
        <w:tab/>
      </w:r>
      <w:r w:rsidRPr="0097437C">
        <w:rPr>
          <w:color w:val="000000"/>
          <w:sz w:val="20"/>
          <w:szCs w:val="20"/>
        </w:rPr>
        <w:t>Health and Safety Executive</w:t>
      </w:r>
    </w:p>
    <w:p w:rsidR="004C0035" w:rsidRPr="004C0035" w:rsidRDefault="004C0035" w:rsidP="004C0035">
      <w:pPr>
        <w:spacing w:line="360" w:lineRule="auto"/>
      </w:pPr>
      <w:r w:rsidRPr="004C0035">
        <w:rPr>
          <w:color w:val="000000"/>
          <w:sz w:val="20"/>
          <w:szCs w:val="20"/>
        </w:rPr>
        <w:t>CRD</w:t>
      </w:r>
      <w:r>
        <w:rPr>
          <w:color w:val="000000"/>
          <w:sz w:val="20"/>
          <w:szCs w:val="20"/>
        </w:rPr>
        <w:tab/>
      </w:r>
      <w:r>
        <w:rPr>
          <w:color w:val="000000"/>
          <w:sz w:val="20"/>
          <w:szCs w:val="20"/>
        </w:rPr>
        <w:tab/>
      </w:r>
      <w:r>
        <w:rPr>
          <w:color w:val="000000"/>
          <w:sz w:val="20"/>
          <w:szCs w:val="20"/>
        </w:rPr>
        <w:tab/>
      </w:r>
      <w:r w:rsidRPr="0097437C">
        <w:rPr>
          <w:color w:val="000000"/>
          <w:sz w:val="20"/>
          <w:szCs w:val="20"/>
        </w:rPr>
        <w:t>Chemicals Regulation Directorate</w:t>
      </w:r>
    </w:p>
    <w:p w:rsidR="008B593E" w:rsidRDefault="004C0035" w:rsidP="008B593E">
      <w:pPr>
        <w:spacing w:line="360" w:lineRule="auto"/>
        <w:rPr>
          <w:sz w:val="20"/>
          <w:szCs w:val="20"/>
        </w:rPr>
      </w:pPr>
      <w:r w:rsidRPr="004C0035">
        <w:rPr>
          <w:sz w:val="20"/>
          <w:szCs w:val="20"/>
        </w:rPr>
        <w:t>BRC</w:t>
      </w:r>
      <w:r>
        <w:rPr>
          <w:sz w:val="20"/>
          <w:szCs w:val="20"/>
        </w:rPr>
        <w:tab/>
      </w:r>
      <w:r>
        <w:rPr>
          <w:sz w:val="20"/>
          <w:szCs w:val="20"/>
        </w:rPr>
        <w:tab/>
      </w:r>
      <w:r>
        <w:rPr>
          <w:sz w:val="20"/>
          <w:szCs w:val="20"/>
        </w:rPr>
        <w:tab/>
        <w:t>British Retail Consortium</w:t>
      </w:r>
    </w:p>
    <w:p w:rsidR="008B593E" w:rsidRPr="008B593E" w:rsidRDefault="004C0035" w:rsidP="008B593E">
      <w:pPr>
        <w:spacing w:line="360" w:lineRule="auto"/>
      </w:pPr>
      <w:r w:rsidRPr="008B593E">
        <w:rPr>
          <w:sz w:val="20"/>
          <w:szCs w:val="20"/>
        </w:rPr>
        <w:t>DEFRA</w:t>
      </w:r>
      <w:r w:rsidR="008B593E" w:rsidRPr="008B593E">
        <w:rPr>
          <w:sz w:val="20"/>
          <w:szCs w:val="20"/>
        </w:rPr>
        <w:tab/>
      </w:r>
      <w:r w:rsidR="008B593E" w:rsidRPr="008B593E">
        <w:rPr>
          <w:sz w:val="20"/>
          <w:szCs w:val="20"/>
        </w:rPr>
        <w:tab/>
      </w:r>
      <w:r w:rsidR="008B593E" w:rsidRPr="008B593E">
        <w:rPr>
          <w:sz w:val="20"/>
          <w:szCs w:val="20"/>
        </w:rPr>
        <w:tab/>
        <w:t>UK Department for Environment, Food and Rural Affairs</w:t>
      </w:r>
    </w:p>
    <w:p w:rsidR="004C0035" w:rsidRPr="004C0035" w:rsidRDefault="004C0035" w:rsidP="008B593E">
      <w:pPr>
        <w:spacing w:line="360" w:lineRule="auto"/>
      </w:pPr>
    </w:p>
    <w:p w:rsidR="004C0035" w:rsidRPr="000D562F" w:rsidRDefault="008B593E">
      <w:pPr>
        <w:spacing w:line="360" w:lineRule="auto"/>
        <w:rPr>
          <w:rFonts w:cs="Arial"/>
          <w:b/>
          <w:sz w:val="20"/>
          <w:szCs w:val="20"/>
        </w:rPr>
        <w:sectPr w:rsidR="004C0035" w:rsidRPr="000D562F">
          <w:headerReference w:type="default" r:id="rId13"/>
          <w:footerReference w:type="even" r:id="rId14"/>
          <w:footerReference w:type="default" r:id="rId15"/>
          <w:type w:val="continuous"/>
          <w:pgSz w:w="12240" w:h="15840"/>
          <w:pgMar w:top="1418" w:right="1418" w:bottom="1418" w:left="1418" w:header="720" w:footer="720" w:gutter="0"/>
          <w:pgNumType w:fmt="lowerRoman" w:start="1"/>
          <w:cols w:space="720" w:equalWidth="0">
            <w:col w:w="9022" w:space="720"/>
          </w:cols>
          <w:titlePg/>
          <w:docGrid w:linePitch="360"/>
        </w:sectPr>
      </w:pPr>
      <w:r>
        <w:rPr>
          <w:rFonts w:cs="Arial"/>
          <w:b/>
          <w:sz w:val="20"/>
          <w:szCs w:val="20"/>
        </w:rPr>
        <w:tab/>
      </w:r>
      <w:r>
        <w:rPr>
          <w:rFonts w:cs="Arial"/>
          <w:b/>
          <w:sz w:val="20"/>
          <w:szCs w:val="20"/>
        </w:rPr>
        <w:tab/>
      </w:r>
    </w:p>
    <w:p w:rsidR="006C3289" w:rsidRPr="000D562F" w:rsidRDefault="00235D21">
      <w:pPr>
        <w:pStyle w:val="Heading1"/>
        <w:pBdr>
          <w:top w:val="single" w:sz="4" w:space="1" w:color="auto"/>
          <w:bottom w:val="single" w:sz="4" w:space="1" w:color="auto"/>
        </w:pBdr>
        <w:jc w:val="center"/>
        <w:rPr>
          <w:sz w:val="20"/>
          <w:szCs w:val="20"/>
        </w:rPr>
      </w:pPr>
      <w:bookmarkStart w:id="5" w:name="_Toc290627288"/>
      <w:r w:rsidRPr="000D562F">
        <w:rPr>
          <w:sz w:val="20"/>
          <w:szCs w:val="20"/>
        </w:rPr>
        <w:lastRenderedPageBreak/>
        <w:t>Executive Summary</w:t>
      </w:r>
      <w:bookmarkEnd w:id="5"/>
    </w:p>
    <w:p w:rsidR="006C3289" w:rsidRPr="000D562F" w:rsidRDefault="006C3289">
      <w:pPr>
        <w:jc w:val="both"/>
        <w:rPr>
          <w:rFonts w:cs="Arial"/>
          <w:sz w:val="20"/>
          <w:szCs w:val="20"/>
        </w:rPr>
      </w:pPr>
    </w:p>
    <w:p w:rsidR="008B7ACD" w:rsidRDefault="008B7ACD" w:rsidP="00A35BCB">
      <w:pPr>
        <w:jc w:val="both"/>
        <w:rPr>
          <w:rFonts w:cs="Arial"/>
          <w:color w:val="4F81BD" w:themeColor="accent1"/>
          <w:sz w:val="20"/>
          <w:szCs w:val="20"/>
        </w:rPr>
      </w:pPr>
    </w:p>
    <w:p w:rsidR="00A35BCB" w:rsidRPr="000D562F" w:rsidRDefault="00A35BCB" w:rsidP="00A35BCB">
      <w:pPr>
        <w:jc w:val="both"/>
        <w:rPr>
          <w:rFonts w:cs="Arial"/>
          <w:color w:val="4F81BD" w:themeColor="accent1"/>
          <w:sz w:val="20"/>
          <w:szCs w:val="20"/>
        </w:rPr>
      </w:pPr>
      <w:r w:rsidRPr="000D562F">
        <w:rPr>
          <w:rFonts w:cs="Arial"/>
          <w:color w:val="4F81BD" w:themeColor="accent1"/>
          <w:sz w:val="20"/>
          <w:szCs w:val="20"/>
        </w:rPr>
        <w:t>One page executive summary</w:t>
      </w:r>
    </w:p>
    <w:p w:rsidR="006C3289" w:rsidRPr="000D562F" w:rsidRDefault="006C3289">
      <w:pPr>
        <w:jc w:val="both"/>
        <w:rPr>
          <w:rFonts w:cs="Arial"/>
          <w:b/>
          <w:sz w:val="20"/>
          <w:szCs w:val="20"/>
        </w:rPr>
      </w:pPr>
    </w:p>
    <w:p w:rsidR="006C3289" w:rsidRPr="000D562F" w:rsidRDefault="00235D21">
      <w:pPr>
        <w:jc w:val="both"/>
        <w:rPr>
          <w:rFonts w:cs="Arial"/>
          <w:sz w:val="20"/>
          <w:szCs w:val="20"/>
        </w:rPr>
      </w:pPr>
      <w:r w:rsidRPr="000D562F">
        <w:rPr>
          <w:rFonts w:cs="Arial"/>
          <w:sz w:val="20"/>
          <w:szCs w:val="20"/>
        </w:rPr>
        <w:t xml:space="preserve">This market </w:t>
      </w:r>
      <w:r w:rsidR="000621CA" w:rsidRPr="000D562F">
        <w:rPr>
          <w:rFonts w:cs="Arial"/>
          <w:sz w:val="20"/>
          <w:szCs w:val="20"/>
        </w:rPr>
        <w:t>profile</w:t>
      </w:r>
      <w:r w:rsidRPr="000D562F">
        <w:rPr>
          <w:rFonts w:cs="Arial"/>
          <w:sz w:val="20"/>
          <w:szCs w:val="20"/>
        </w:rPr>
        <w:t xml:space="preserve"> reviews the</w:t>
      </w:r>
      <w:r w:rsidR="005B3D0C">
        <w:rPr>
          <w:rFonts w:cs="Arial"/>
          <w:sz w:val="20"/>
          <w:szCs w:val="20"/>
        </w:rPr>
        <w:t xml:space="preserve"> UNITED KINGDOM</w:t>
      </w:r>
      <w:r w:rsidRPr="000D562F">
        <w:rPr>
          <w:rFonts w:cs="Arial"/>
          <w:sz w:val="20"/>
          <w:szCs w:val="20"/>
        </w:rPr>
        <w:t xml:space="preserve"> market </w:t>
      </w:r>
      <w:r w:rsidR="005B3D0C">
        <w:rPr>
          <w:rFonts w:cs="Arial"/>
          <w:sz w:val="20"/>
          <w:szCs w:val="20"/>
        </w:rPr>
        <w:t>for SUNFLOWER OIL,</w:t>
      </w:r>
      <w:r w:rsidRPr="000D562F">
        <w:rPr>
          <w:rFonts w:cs="Arial"/>
          <w:sz w:val="20"/>
          <w:szCs w:val="20"/>
        </w:rPr>
        <w:t xml:space="preserve"> its future prospects for new suppliers entering the market.  The purpose of this </w:t>
      </w:r>
      <w:r w:rsidR="00A35BCB" w:rsidRPr="000D562F">
        <w:rPr>
          <w:rFonts w:cs="Arial"/>
          <w:sz w:val="20"/>
          <w:szCs w:val="20"/>
        </w:rPr>
        <w:t xml:space="preserve">market profile </w:t>
      </w:r>
      <w:r w:rsidRPr="000D562F">
        <w:rPr>
          <w:rFonts w:cs="Arial"/>
          <w:sz w:val="20"/>
          <w:szCs w:val="20"/>
        </w:rPr>
        <w:t xml:space="preserve">is to guide possible new entrants into </w:t>
      </w:r>
      <w:r w:rsidR="005B3D0C">
        <w:rPr>
          <w:rFonts w:cs="Arial"/>
          <w:sz w:val="20"/>
          <w:szCs w:val="20"/>
        </w:rPr>
        <w:t>sunflower oil</w:t>
      </w:r>
      <w:r w:rsidR="00A35BCB" w:rsidRPr="000D562F">
        <w:rPr>
          <w:rFonts w:cs="Arial"/>
          <w:sz w:val="20"/>
          <w:szCs w:val="20"/>
        </w:rPr>
        <w:t xml:space="preserve"> </w:t>
      </w:r>
      <w:r w:rsidRPr="000D562F">
        <w:rPr>
          <w:rFonts w:cs="Arial"/>
          <w:sz w:val="20"/>
          <w:szCs w:val="20"/>
        </w:rPr>
        <w:t>market.</w:t>
      </w:r>
    </w:p>
    <w:p w:rsidR="006C3289" w:rsidRPr="000D562F" w:rsidRDefault="006C3289">
      <w:pPr>
        <w:jc w:val="both"/>
        <w:rPr>
          <w:rFonts w:cs="Arial"/>
          <w:sz w:val="20"/>
          <w:szCs w:val="20"/>
        </w:rPr>
      </w:pPr>
    </w:p>
    <w:p w:rsidR="006C3289" w:rsidRPr="000D562F" w:rsidRDefault="00235D21">
      <w:pPr>
        <w:jc w:val="both"/>
        <w:rPr>
          <w:rFonts w:cs="Arial"/>
          <w:sz w:val="20"/>
          <w:szCs w:val="20"/>
        </w:rPr>
      </w:pPr>
      <w:r w:rsidRPr="000D562F">
        <w:rPr>
          <w:rFonts w:cs="Arial"/>
          <w:sz w:val="20"/>
          <w:szCs w:val="20"/>
        </w:rPr>
        <w:t xml:space="preserve">The </w:t>
      </w:r>
      <w:r w:rsidR="005B3D0C">
        <w:rPr>
          <w:rFonts w:cs="Arial"/>
          <w:sz w:val="20"/>
          <w:szCs w:val="20"/>
        </w:rPr>
        <w:t>United Kingdom</w:t>
      </w:r>
      <w:r w:rsidRPr="000D562F">
        <w:rPr>
          <w:rFonts w:cs="Arial"/>
          <w:sz w:val="20"/>
          <w:szCs w:val="20"/>
        </w:rPr>
        <w:t xml:space="preserve"> market for </w:t>
      </w:r>
      <w:r w:rsidR="00A35BCB" w:rsidRPr="000D562F">
        <w:rPr>
          <w:rFonts w:cs="Arial"/>
          <w:sz w:val="20"/>
          <w:szCs w:val="20"/>
        </w:rPr>
        <w:t xml:space="preserve">(name of the product) </w:t>
      </w:r>
      <w:r w:rsidRPr="000D562F">
        <w:rPr>
          <w:rFonts w:cs="Arial"/>
          <w:sz w:val="20"/>
          <w:szCs w:val="20"/>
        </w:rPr>
        <w:t xml:space="preserve">is </w:t>
      </w:r>
      <w:r w:rsidR="00A35BCB" w:rsidRPr="000D562F">
        <w:rPr>
          <w:rFonts w:cs="Arial"/>
          <w:sz w:val="20"/>
          <w:szCs w:val="20"/>
        </w:rPr>
        <w:t>.......</w:t>
      </w:r>
    </w:p>
    <w:p w:rsidR="006C3289" w:rsidRPr="000D562F" w:rsidRDefault="006C3289">
      <w:pPr>
        <w:jc w:val="both"/>
        <w:rPr>
          <w:rFonts w:cs="Arial"/>
          <w:sz w:val="20"/>
          <w:szCs w:val="20"/>
        </w:rPr>
      </w:pPr>
    </w:p>
    <w:p w:rsidR="006C3289" w:rsidRPr="000D562F" w:rsidRDefault="006C3289">
      <w:pPr>
        <w:jc w:val="both"/>
        <w:rPr>
          <w:rFonts w:cs="Arial"/>
          <w:sz w:val="20"/>
          <w:szCs w:val="20"/>
        </w:rPr>
      </w:pPr>
    </w:p>
    <w:p w:rsidR="00A35BCB" w:rsidRPr="000D562F" w:rsidRDefault="00235D21">
      <w:pPr>
        <w:jc w:val="both"/>
        <w:rPr>
          <w:rFonts w:cs="Arial"/>
          <w:sz w:val="20"/>
          <w:szCs w:val="20"/>
        </w:rPr>
      </w:pPr>
      <w:r w:rsidRPr="000D562F">
        <w:rPr>
          <w:rFonts w:cs="Arial"/>
          <w:sz w:val="20"/>
          <w:szCs w:val="20"/>
        </w:rPr>
        <w:t xml:space="preserve">Production in the </w:t>
      </w:r>
      <w:r w:rsidR="00A35BCB" w:rsidRPr="000D562F">
        <w:rPr>
          <w:rFonts w:cs="Arial"/>
          <w:sz w:val="20"/>
          <w:szCs w:val="20"/>
        </w:rPr>
        <w:t>(name of the importing country)......</w:t>
      </w:r>
    </w:p>
    <w:p w:rsidR="006C3289" w:rsidRPr="000D562F" w:rsidRDefault="006C3289">
      <w:pPr>
        <w:jc w:val="both"/>
        <w:rPr>
          <w:rFonts w:cs="Arial"/>
          <w:sz w:val="20"/>
          <w:szCs w:val="20"/>
        </w:rPr>
      </w:pPr>
    </w:p>
    <w:p w:rsidR="006C3289" w:rsidRPr="000D562F" w:rsidRDefault="00235D21">
      <w:pPr>
        <w:jc w:val="both"/>
        <w:rPr>
          <w:rFonts w:cs="Arial"/>
          <w:sz w:val="20"/>
          <w:szCs w:val="20"/>
        </w:rPr>
      </w:pPr>
      <w:r w:rsidRPr="000D562F">
        <w:rPr>
          <w:rFonts w:cs="Arial"/>
          <w:sz w:val="20"/>
          <w:szCs w:val="20"/>
        </w:rPr>
        <w:t xml:space="preserve">The demand for </w:t>
      </w:r>
      <w:r w:rsidR="00A35BCB" w:rsidRPr="000D562F">
        <w:rPr>
          <w:rFonts w:cs="Arial"/>
          <w:sz w:val="20"/>
          <w:szCs w:val="20"/>
        </w:rPr>
        <w:t>(name of the product)</w:t>
      </w:r>
      <w:r w:rsidRPr="000D562F">
        <w:rPr>
          <w:rFonts w:cs="Arial"/>
          <w:sz w:val="20"/>
          <w:szCs w:val="20"/>
        </w:rPr>
        <w:t xml:space="preserve"> has increased significantly due to the growth </w:t>
      </w:r>
      <w:r w:rsidR="00A35BCB" w:rsidRPr="000D562F">
        <w:rPr>
          <w:rFonts w:cs="Arial"/>
          <w:sz w:val="20"/>
          <w:szCs w:val="20"/>
        </w:rPr>
        <w:t>....</w:t>
      </w:r>
      <w:r w:rsidR="000621CA" w:rsidRPr="000D562F">
        <w:rPr>
          <w:rFonts w:cs="Arial"/>
          <w:sz w:val="20"/>
          <w:szCs w:val="20"/>
        </w:rPr>
        <w:t xml:space="preserve"> etc</w:t>
      </w:r>
    </w:p>
    <w:p w:rsidR="00407B05" w:rsidRPr="000D562F" w:rsidRDefault="00407B05">
      <w:pPr>
        <w:jc w:val="both"/>
        <w:rPr>
          <w:rFonts w:cs="Arial"/>
          <w:sz w:val="20"/>
          <w:szCs w:val="20"/>
        </w:rPr>
      </w:pPr>
    </w:p>
    <w:p w:rsidR="000621CA" w:rsidRPr="000D562F" w:rsidRDefault="000621CA">
      <w:pPr>
        <w:jc w:val="both"/>
        <w:rPr>
          <w:rFonts w:cs="Arial"/>
          <w:sz w:val="20"/>
          <w:szCs w:val="20"/>
        </w:rPr>
      </w:pPr>
    </w:p>
    <w:p w:rsidR="00B23FDD" w:rsidRPr="000D562F" w:rsidRDefault="00235D21" w:rsidP="00862AA8">
      <w:pPr>
        <w:pStyle w:val="NoSpacing"/>
      </w:pPr>
      <w:r w:rsidRPr="000D562F">
        <w:br w:type="page"/>
      </w:r>
    </w:p>
    <w:p w:rsidR="006C3289" w:rsidRPr="000D562F" w:rsidRDefault="00235D21" w:rsidP="000621CA">
      <w:pPr>
        <w:pStyle w:val="Heading1"/>
        <w:pBdr>
          <w:top w:val="single" w:sz="4" w:space="1" w:color="auto"/>
          <w:bottom w:val="single" w:sz="4" w:space="1" w:color="auto"/>
        </w:pBdr>
        <w:jc w:val="center"/>
        <w:rPr>
          <w:sz w:val="20"/>
          <w:szCs w:val="20"/>
        </w:rPr>
      </w:pPr>
      <w:bookmarkStart w:id="6" w:name="_Toc290627289"/>
      <w:r w:rsidRPr="000D562F">
        <w:rPr>
          <w:sz w:val="20"/>
          <w:szCs w:val="20"/>
        </w:rPr>
        <w:lastRenderedPageBreak/>
        <w:t>A. Product Description</w:t>
      </w:r>
      <w:bookmarkEnd w:id="6"/>
    </w:p>
    <w:p w:rsidR="006C3289" w:rsidRPr="000D562F" w:rsidRDefault="006C3289">
      <w:pPr>
        <w:rPr>
          <w:sz w:val="20"/>
          <w:szCs w:val="20"/>
        </w:rPr>
      </w:pPr>
    </w:p>
    <w:p w:rsidR="00A35BCB" w:rsidRPr="000D562F" w:rsidRDefault="00A35BCB" w:rsidP="00A35BCB">
      <w:pPr>
        <w:jc w:val="both"/>
        <w:rPr>
          <w:rFonts w:cs="Arial"/>
          <w:sz w:val="20"/>
          <w:szCs w:val="20"/>
        </w:rPr>
      </w:pPr>
      <w:r w:rsidRPr="000D562F">
        <w:rPr>
          <w:rFonts w:cs="Arial"/>
          <w:sz w:val="20"/>
          <w:szCs w:val="20"/>
        </w:rPr>
        <w:t xml:space="preserve">This market profile illustrates the </w:t>
      </w:r>
      <w:r w:rsidR="00E426E0" w:rsidRPr="00E426E0">
        <w:rPr>
          <w:rFonts w:cs="Arial"/>
          <w:sz w:val="20"/>
          <w:szCs w:val="20"/>
        </w:rPr>
        <w:t>United Kingdom (UK)</w:t>
      </w:r>
      <w:r w:rsidRPr="00E426E0">
        <w:rPr>
          <w:rFonts w:cs="Arial"/>
          <w:sz w:val="20"/>
          <w:szCs w:val="20"/>
        </w:rPr>
        <w:t xml:space="preserve"> </w:t>
      </w:r>
      <w:r w:rsidRPr="000D562F">
        <w:rPr>
          <w:rFonts w:cs="Arial"/>
          <w:sz w:val="20"/>
          <w:szCs w:val="20"/>
        </w:rPr>
        <w:t>market for</w:t>
      </w:r>
      <w:r w:rsidR="00E426E0">
        <w:rPr>
          <w:rFonts w:cs="Arial"/>
          <w:sz w:val="20"/>
          <w:szCs w:val="20"/>
        </w:rPr>
        <w:t xml:space="preserve"> Sunflower Oil</w:t>
      </w:r>
      <w:r w:rsidRPr="000D562F">
        <w:rPr>
          <w:rFonts w:cs="Arial"/>
          <w:sz w:val="20"/>
          <w:szCs w:val="20"/>
        </w:rPr>
        <w:t xml:space="preserve"> and is intended for the use of producers and exporters of </w:t>
      </w:r>
      <w:r w:rsidR="00E426E0">
        <w:rPr>
          <w:rFonts w:cs="Arial"/>
          <w:sz w:val="20"/>
          <w:szCs w:val="20"/>
        </w:rPr>
        <w:t>Sunflower Oil</w:t>
      </w:r>
      <w:r w:rsidRPr="000D562F">
        <w:rPr>
          <w:rFonts w:cs="Arial"/>
          <w:sz w:val="20"/>
          <w:szCs w:val="20"/>
        </w:rPr>
        <w:t xml:space="preserve"> in </w:t>
      </w:r>
      <w:r w:rsidR="007C4006" w:rsidRPr="000D562F">
        <w:rPr>
          <w:rFonts w:cs="Arial"/>
          <w:sz w:val="20"/>
          <w:szCs w:val="20"/>
        </w:rPr>
        <w:t>South Africa</w:t>
      </w:r>
      <w:r w:rsidRPr="000D562F">
        <w:rPr>
          <w:rFonts w:cs="Arial"/>
          <w:sz w:val="20"/>
          <w:szCs w:val="20"/>
        </w:rPr>
        <w:t xml:space="preserve">.  </w:t>
      </w:r>
    </w:p>
    <w:p w:rsidR="0083605D" w:rsidRPr="000D562F" w:rsidRDefault="007C4006" w:rsidP="00002BEE">
      <w:pPr>
        <w:pStyle w:val="Heading2"/>
        <w:rPr>
          <w:i w:val="0"/>
          <w:sz w:val="20"/>
          <w:szCs w:val="20"/>
          <w:u w:val="single"/>
        </w:rPr>
      </w:pPr>
      <w:bookmarkStart w:id="7" w:name="_Toc290627290"/>
      <w:r w:rsidRPr="000D562F">
        <w:rPr>
          <w:i w:val="0"/>
          <w:sz w:val="20"/>
          <w:szCs w:val="20"/>
          <w:u w:val="single"/>
        </w:rPr>
        <w:t>Definition and description of product and its application(s)</w:t>
      </w:r>
      <w:bookmarkEnd w:id="7"/>
    </w:p>
    <w:p w:rsidR="00030B6E" w:rsidRDefault="00030B6E" w:rsidP="00030B6E">
      <w:pPr>
        <w:jc w:val="both"/>
        <w:rPr>
          <w:rFonts w:cs="Arial"/>
          <w:color w:val="000000"/>
          <w:sz w:val="20"/>
          <w:szCs w:val="20"/>
        </w:rPr>
      </w:pPr>
      <w:bookmarkStart w:id="8" w:name="_Toc290627291"/>
    </w:p>
    <w:p w:rsidR="00030B6E" w:rsidRPr="002250EA" w:rsidRDefault="00030B6E" w:rsidP="00030B6E">
      <w:pPr>
        <w:jc w:val="both"/>
        <w:rPr>
          <w:rFonts w:cs="Arial"/>
          <w:sz w:val="20"/>
          <w:szCs w:val="20"/>
        </w:rPr>
      </w:pPr>
      <w:r w:rsidRPr="002250EA">
        <w:rPr>
          <w:rFonts w:cs="Arial"/>
          <w:color w:val="000000"/>
          <w:sz w:val="20"/>
          <w:szCs w:val="20"/>
        </w:rPr>
        <w:t xml:space="preserve">Healthy, natural sunflower oil is produced from oil type sunflower seeds. Sunflower oil is light in taste and appearance and supplies more Vitamin E than any other vegetable oil. </w:t>
      </w:r>
      <w:r w:rsidR="00E76BF4">
        <w:rPr>
          <w:rFonts w:cs="Arial"/>
          <w:color w:val="000000"/>
          <w:sz w:val="20"/>
          <w:szCs w:val="20"/>
        </w:rPr>
        <w:t xml:space="preserve"> </w:t>
      </w:r>
      <w:r w:rsidRPr="002250EA">
        <w:rPr>
          <w:rFonts w:cs="Arial"/>
          <w:color w:val="000000"/>
          <w:sz w:val="20"/>
          <w:szCs w:val="20"/>
        </w:rPr>
        <w:t>It is a combination of monounsaturated and polyunsaturated fats w</w:t>
      </w:r>
      <w:r>
        <w:rPr>
          <w:rFonts w:cs="Arial"/>
          <w:color w:val="000000"/>
          <w:sz w:val="20"/>
          <w:szCs w:val="20"/>
        </w:rPr>
        <w:t xml:space="preserve">ith low saturated fat levels.  </w:t>
      </w:r>
      <w:r w:rsidRPr="002250EA">
        <w:rPr>
          <w:rFonts w:cs="Arial"/>
          <w:color w:val="000000"/>
          <w:sz w:val="20"/>
          <w:szCs w:val="20"/>
        </w:rPr>
        <w:t xml:space="preserve">The versatility of this healthy oil is recognized by cooks internationally. </w:t>
      </w:r>
      <w:r>
        <w:rPr>
          <w:rFonts w:cs="Arial"/>
          <w:color w:val="000000"/>
          <w:sz w:val="20"/>
          <w:szCs w:val="20"/>
        </w:rPr>
        <w:t xml:space="preserve"> </w:t>
      </w:r>
      <w:r w:rsidRPr="002250EA">
        <w:rPr>
          <w:rFonts w:cs="Arial"/>
          <w:color w:val="000000"/>
          <w:sz w:val="20"/>
          <w:szCs w:val="20"/>
        </w:rPr>
        <w:t>Sunflower oil is valued for its light taste, frying perfor</w:t>
      </w:r>
      <w:r>
        <w:rPr>
          <w:rFonts w:cs="Arial"/>
          <w:color w:val="000000"/>
          <w:sz w:val="20"/>
          <w:szCs w:val="20"/>
        </w:rPr>
        <w:t>mance and health benefits</w:t>
      </w:r>
      <w:r w:rsidR="00E76BF4">
        <w:rPr>
          <w:rFonts w:cs="Arial"/>
          <w:color w:val="000000"/>
          <w:sz w:val="20"/>
          <w:szCs w:val="20"/>
        </w:rPr>
        <w:t>.  S</w:t>
      </w:r>
      <w:r w:rsidRPr="002250EA">
        <w:rPr>
          <w:rFonts w:cs="Arial"/>
          <w:color w:val="000000"/>
          <w:sz w:val="20"/>
          <w:szCs w:val="20"/>
        </w:rPr>
        <w:t>unflower oil meets the needs of consumer and food manufacturers alike for a healthy and high performance non-transgenic vegetable oil.</w:t>
      </w:r>
    </w:p>
    <w:p w:rsidR="00030B6E" w:rsidRDefault="00030B6E" w:rsidP="009F3081">
      <w:pPr>
        <w:jc w:val="both"/>
        <w:rPr>
          <w:sz w:val="20"/>
          <w:szCs w:val="20"/>
        </w:rPr>
      </w:pPr>
    </w:p>
    <w:p w:rsidR="009F3081" w:rsidRDefault="00E426E0" w:rsidP="009F3081">
      <w:pPr>
        <w:jc w:val="both"/>
        <w:rPr>
          <w:sz w:val="20"/>
          <w:szCs w:val="20"/>
        </w:rPr>
      </w:pPr>
      <w:r>
        <w:rPr>
          <w:sz w:val="20"/>
          <w:szCs w:val="20"/>
        </w:rPr>
        <w:t>Sunflower oil</w:t>
      </w:r>
      <w:r w:rsidR="009F3081" w:rsidRPr="009F3081">
        <w:rPr>
          <w:sz w:val="20"/>
          <w:szCs w:val="20"/>
        </w:rPr>
        <w:t xml:space="preserve"> is mainly used in food or technical applications such as </w:t>
      </w:r>
      <w:r>
        <w:rPr>
          <w:sz w:val="20"/>
          <w:szCs w:val="20"/>
        </w:rPr>
        <w:t xml:space="preserve">cooking oil, for </w:t>
      </w:r>
      <w:r w:rsidR="009F3081" w:rsidRPr="009F3081">
        <w:rPr>
          <w:sz w:val="20"/>
          <w:szCs w:val="20"/>
        </w:rPr>
        <w:t>biofuels an</w:t>
      </w:r>
      <w:r>
        <w:rPr>
          <w:sz w:val="20"/>
          <w:szCs w:val="20"/>
        </w:rPr>
        <w:t xml:space="preserve">d cosmetics in the UK. </w:t>
      </w:r>
      <w:r w:rsidR="00E76BF4">
        <w:rPr>
          <w:sz w:val="20"/>
          <w:szCs w:val="20"/>
        </w:rPr>
        <w:t xml:space="preserve"> </w:t>
      </w:r>
      <w:r w:rsidR="00B65BD5">
        <w:rPr>
          <w:sz w:val="20"/>
          <w:szCs w:val="20"/>
        </w:rPr>
        <w:t>In South Africa s</w:t>
      </w:r>
      <w:r w:rsidR="009F3081" w:rsidRPr="009F3081">
        <w:rPr>
          <w:sz w:val="20"/>
          <w:szCs w:val="20"/>
        </w:rPr>
        <w:t xml:space="preserve">unflower oil is mainly used for </w:t>
      </w:r>
      <w:r w:rsidR="00B65BD5">
        <w:rPr>
          <w:sz w:val="20"/>
          <w:szCs w:val="20"/>
        </w:rPr>
        <w:t>cooking purposes in</w:t>
      </w:r>
      <w:r w:rsidR="009F3081" w:rsidRPr="009F3081">
        <w:rPr>
          <w:sz w:val="20"/>
          <w:szCs w:val="20"/>
        </w:rPr>
        <w:t xml:space="preserve">. The UK population is increasingly concerned about healthy eating habits thus the population has shifted away from the consumption of fatty acids and hydrogenated fats towards more unsaturated fats with the increase in the consumption of vegetable oils and fats. </w:t>
      </w:r>
    </w:p>
    <w:p w:rsidR="00587C7D" w:rsidRPr="00587C7D" w:rsidRDefault="00587C7D" w:rsidP="009F3081">
      <w:pPr>
        <w:jc w:val="both"/>
        <w:rPr>
          <w:sz w:val="18"/>
          <w:szCs w:val="18"/>
        </w:rPr>
      </w:pPr>
    </w:p>
    <w:p w:rsidR="00587C7D" w:rsidRPr="00587C7D" w:rsidRDefault="00587C7D" w:rsidP="009F3081">
      <w:pPr>
        <w:jc w:val="both"/>
        <w:rPr>
          <w:sz w:val="20"/>
          <w:szCs w:val="20"/>
        </w:rPr>
      </w:pPr>
      <w:r w:rsidRPr="00587C7D">
        <w:rPr>
          <w:sz w:val="20"/>
          <w:szCs w:val="20"/>
        </w:rPr>
        <w:t xml:space="preserve">Domestic demand for sunflower oil has increased in recent years as processors have built refineries and large buyers have committed to future purchases. </w:t>
      </w:r>
      <w:r w:rsidR="00E76BF4">
        <w:rPr>
          <w:sz w:val="20"/>
          <w:szCs w:val="20"/>
        </w:rPr>
        <w:t xml:space="preserve"> </w:t>
      </w:r>
      <w:r w:rsidRPr="00587C7D">
        <w:rPr>
          <w:sz w:val="20"/>
          <w:szCs w:val="20"/>
        </w:rPr>
        <w:t>Food processors use the oil for frying foods (including potato chips) and in salad and cooking oil, margarine, and dairy substitutes. Sunflower oil is preferred in many high-quality dining establishments for its neutral taste. A small supply of high-oleic oil is used in industrial frying applications where high temperatures require good oxidation stability. A small amount of oil is also used in cosmetics, resins, and lubricants</w:t>
      </w:r>
      <w:r w:rsidR="000D1656">
        <w:rPr>
          <w:sz w:val="20"/>
          <w:szCs w:val="20"/>
        </w:rPr>
        <w:t xml:space="preserve"> (USDA, 2011)</w:t>
      </w:r>
      <w:r w:rsidRPr="00587C7D">
        <w:rPr>
          <w:sz w:val="20"/>
          <w:szCs w:val="20"/>
        </w:rPr>
        <w:t>.</w:t>
      </w:r>
    </w:p>
    <w:p w:rsidR="00587C7D" w:rsidRPr="00587C7D" w:rsidRDefault="00587C7D" w:rsidP="009F3081">
      <w:pPr>
        <w:jc w:val="both"/>
        <w:rPr>
          <w:sz w:val="20"/>
          <w:szCs w:val="20"/>
        </w:rPr>
      </w:pPr>
    </w:p>
    <w:p w:rsidR="00587C7D" w:rsidRPr="00587C7D" w:rsidRDefault="000D1656" w:rsidP="009F3081">
      <w:pPr>
        <w:jc w:val="both"/>
        <w:rPr>
          <w:sz w:val="20"/>
          <w:szCs w:val="20"/>
        </w:rPr>
      </w:pPr>
      <w:r>
        <w:rPr>
          <w:sz w:val="20"/>
          <w:szCs w:val="20"/>
        </w:rPr>
        <w:t>Sunflower oil can be divided between l</w:t>
      </w:r>
      <w:r w:rsidR="00587C7D" w:rsidRPr="00587C7D">
        <w:rPr>
          <w:sz w:val="20"/>
          <w:szCs w:val="20"/>
        </w:rPr>
        <w:t xml:space="preserve">inoleic, high-oleic, </w:t>
      </w:r>
      <w:r>
        <w:rPr>
          <w:sz w:val="20"/>
          <w:szCs w:val="20"/>
        </w:rPr>
        <w:t>and mid-oleic sunflower oils</w:t>
      </w:r>
      <w:r w:rsidR="00587C7D" w:rsidRPr="00587C7D">
        <w:rPr>
          <w:sz w:val="20"/>
          <w:szCs w:val="20"/>
        </w:rPr>
        <w:t>. Until recently, linoleic oil was the predominant oil. Linoleic oil must be partially hydrogenated to maintain its stability in various uses, a process that also creates trans fats. Plant breeders began developing mid-oleic seed after research uncovered a link between trans fats and heart disease. Today, the majority of the sunflower oil supply is mid-oleic, which does not require hydrogenation. Mid-oleic oil has no trans fats, low monounsaturated fat, and a neutral taste</w:t>
      </w:r>
      <w:r>
        <w:rPr>
          <w:sz w:val="20"/>
          <w:szCs w:val="20"/>
        </w:rPr>
        <w:t xml:space="preserve"> (USDA, 2011)</w:t>
      </w:r>
      <w:r w:rsidR="00587C7D" w:rsidRPr="00587C7D">
        <w:rPr>
          <w:sz w:val="20"/>
          <w:szCs w:val="20"/>
        </w:rPr>
        <w:t xml:space="preserve">. </w:t>
      </w:r>
    </w:p>
    <w:p w:rsidR="006C3289" w:rsidRPr="000D562F" w:rsidRDefault="00235D21" w:rsidP="00002BEE">
      <w:pPr>
        <w:pStyle w:val="Heading2"/>
        <w:rPr>
          <w:i w:val="0"/>
          <w:sz w:val="20"/>
          <w:szCs w:val="20"/>
          <w:u w:val="single"/>
        </w:rPr>
      </w:pPr>
      <w:r w:rsidRPr="000D562F">
        <w:rPr>
          <w:i w:val="0"/>
          <w:sz w:val="20"/>
          <w:szCs w:val="20"/>
          <w:u w:val="single"/>
        </w:rPr>
        <w:t xml:space="preserve">HS </w:t>
      </w:r>
      <w:r w:rsidR="00A35BCB" w:rsidRPr="000D562F">
        <w:rPr>
          <w:i w:val="0"/>
          <w:sz w:val="20"/>
          <w:szCs w:val="20"/>
          <w:u w:val="single"/>
        </w:rPr>
        <w:t>cod</w:t>
      </w:r>
      <w:r w:rsidR="00ED20B8" w:rsidRPr="000D562F">
        <w:rPr>
          <w:i w:val="0"/>
          <w:sz w:val="20"/>
          <w:szCs w:val="20"/>
          <w:u w:val="single"/>
        </w:rPr>
        <w:t>e</w:t>
      </w:r>
      <w:r w:rsidR="00A35BCB" w:rsidRPr="000D562F">
        <w:rPr>
          <w:i w:val="0"/>
          <w:sz w:val="20"/>
          <w:szCs w:val="20"/>
          <w:u w:val="single"/>
        </w:rPr>
        <w:t xml:space="preserve">, NTL(s) for importing country </w:t>
      </w:r>
      <w:r w:rsidRPr="000D562F">
        <w:rPr>
          <w:i w:val="0"/>
          <w:sz w:val="20"/>
          <w:szCs w:val="20"/>
          <w:u w:val="single"/>
        </w:rPr>
        <w:t>and NTL(s) for South Africa</w:t>
      </w:r>
      <w:bookmarkEnd w:id="8"/>
    </w:p>
    <w:p w:rsidR="00A35BCB" w:rsidRPr="000D562F" w:rsidRDefault="00A35BCB">
      <w:pPr>
        <w:jc w:val="both"/>
        <w:rPr>
          <w:rFonts w:cs="Arial"/>
          <w:color w:val="4F81BD" w:themeColor="accent1"/>
          <w:sz w:val="20"/>
          <w:szCs w:val="20"/>
        </w:rPr>
      </w:pPr>
    </w:p>
    <w:p w:rsidR="006C3289" w:rsidRPr="000D562F" w:rsidRDefault="00235D21">
      <w:pPr>
        <w:jc w:val="both"/>
        <w:rPr>
          <w:rFonts w:cs="Arial"/>
          <w:sz w:val="20"/>
          <w:szCs w:val="20"/>
        </w:rPr>
      </w:pPr>
      <w:r w:rsidRPr="000D562F">
        <w:rPr>
          <w:rFonts w:cs="Arial"/>
          <w:sz w:val="20"/>
          <w:szCs w:val="20"/>
        </w:rPr>
        <w:t xml:space="preserve">Specific codes to identify the </w:t>
      </w:r>
      <w:r w:rsidR="00ED20B8" w:rsidRPr="000D562F">
        <w:rPr>
          <w:rFonts w:cs="Arial"/>
          <w:sz w:val="20"/>
          <w:szCs w:val="20"/>
        </w:rPr>
        <w:t>product</w:t>
      </w:r>
      <w:r w:rsidRPr="000D562F">
        <w:rPr>
          <w:rFonts w:cs="Arial"/>
          <w:sz w:val="20"/>
          <w:szCs w:val="20"/>
        </w:rPr>
        <w:t xml:space="preserve"> category are as follows:</w:t>
      </w:r>
    </w:p>
    <w:p w:rsidR="006C3289" w:rsidRPr="000D562F" w:rsidRDefault="00235D21" w:rsidP="00002BEE">
      <w:pPr>
        <w:jc w:val="both"/>
        <w:rPr>
          <w:rFonts w:cs="Arial"/>
          <w:sz w:val="20"/>
          <w:szCs w:val="20"/>
        </w:rPr>
      </w:pPr>
      <w:r w:rsidRPr="000D562F">
        <w:rPr>
          <w:rFonts w:cs="Arial"/>
          <w:sz w:val="20"/>
          <w:szCs w:val="20"/>
        </w:rPr>
        <w:t>HS (Harmonized System) Code</w:t>
      </w:r>
      <w:r w:rsidR="00CD2741" w:rsidRPr="000D562F">
        <w:rPr>
          <w:rStyle w:val="FootnoteReference"/>
          <w:rFonts w:cs="Arial"/>
          <w:sz w:val="20"/>
          <w:szCs w:val="20"/>
        </w:rPr>
        <w:footnoteReference w:id="1"/>
      </w:r>
      <w:r w:rsidRPr="000D562F">
        <w:rPr>
          <w:rFonts w:cs="Arial"/>
          <w:sz w:val="20"/>
          <w:szCs w:val="20"/>
        </w:rPr>
        <w:t xml:space="preserve">: </w:t>
      </w:r>
      <w:r w:rsidR="002C19BC">
        <w:rPr>
          <w:rFonts w:cs="Arial"/>
          <w:sz w:val="20"/>
          <w:szCs w:val="20"/>
        </w:rPr>
        <w:t>151219</w:t>
      </w:r>
    </w:p>
    <w:p w:rsidR="006C3289" w:rsidRPr="000D562F" w:rsidRDefault="00A35BCB" w:rsidP="00002BEE">
      <w:pPr>
        <w:jc w:val="both"/>
        <w:rPr>
          <w:rFonts w:cs="Arial"/>
          <w:sz w:val="20"/>
          <w:szCs w:val="20"/>
        </w:rPr>
      </w:pPr>
      <w:r w:rsidRPr="000D562F">
        <w:rPr>
          <w:rFonts w:cs="Arial"/>
          <w:sz w:val="20"/>
          <w:szCs w:val="20"/>
        </w:rPr>
        <w:t>National Tariff Line code of the importing country</w:t>
      </w:r>
      <w:r w:rsidR="00235D21" w:rsidRPr="000D562F">
        <w:rPr>
          <w:rFonts w:cs="Arial"/>
          <w:sz w:val="20"/>
          <w:szCs w:val="20"/>
        </w:rPr>
        <w:t xml:space="preserve">:  </w:t>
      </w:r>
      <w:r w:rsidR="002C19BC">
        <w:rPr>
          <w:rFonts w:cs="Arial"/>
          <w:sz w:val="20"/>
          <w:szCs w:val="20"/>
        </w:rPr>
        <w:t>15121991</w:t>
      </w:r>
    </w:p>
    <w:p w:rsidR="0032483F" w:rsidRPr="000D562F" w:rsidRDefault="00ED20B8" w:rsidP="0032483F">
      <w:pPr>
        <w:jc w:val="both"/>
        <w:rPr>
          <w:rFonts w:cs="Arial"/>
          <w:sz w:val="20"/>
          <w:szCs w:val="20"/>
        </w:rPr>
      </w:pPr>
      <w:r w:rsidRPr="000D562F">
        <w:rPr>
          <w:rFonts w:cs="Arial"/>
          <w:sz w:val="20"/>
          <w:szCs w:val="20"/>
        </w:rPr>
        <w:t xml:space="preserve">National Tariff Line code of South Africa:  </w:t>
      </w:r>
      <w:r w:rsidR="002C19BC">
        <w:rPr>
          <w:rFonts w:cs="Arial"/>
          <w:sz w:val="20"/>
          <w:szCs w:val="20"/>
        </w:rPr>
        <w:t>15121900</w:t>
      </w:r>
    </w:p>
    <w:p w:rsidR="0032483F" w:rsidRPr="000D562F" w:rsidRDefault="0032483F" w:rsidP="00362715">
      <w:pPr>
        <w:pStyle w:val="Heading2"/>
        <w:rPr>
          <w:i w:val="0"/>
          <w:sz w:val="20"/>
          <w:szCs w:val="20"/>
          <w:u w:val="single"/>
        </w:rPr>
      </w:pPr>
      <w:bookmarkStart w:id="9" w:name="_Toc290627292"/>
      <w:r w:rsidRPr="000D562F">
        <w:rPr>
          <w:i w:val="0"/>
          <w:sz w:val="20"/>
          <w:szCs w:val="20"/>
          <w:u w:val="single"/>
        </w:rPr>
        <w:t>Production</w:t>
      </w:r>
      <w:bookmarkEnd w:id="9"/>
    </w:p>
    <w:p w:rsidR="0032483F" w:rsidRDefault="0032483F" w:rsidP="0032483F">
      <w:pPr>
        <w:keepNext/>
        <w:tabs>
          <w:tab w:val="num" w:pos="1069"/>
        </w:tabs>
        <w:autoSpaceDE w:val="0"/>
        <w:autoSpaceDN w:val="0"/>
        <w:adjustRightInd w:val="0"/>
        <w:spacing w:before="240" w:after="120"/>
        <w:jc w:val="both"/>
        <w:rPr>
          <w:rFonts w:cs="Arial"/>
          <w:iCs/>
          <w:color w:val="4F81BD" w:themeColor="accent1"/>
          <w:sz w:val="20"/>
          <w:szCs w:val="20"/>
        </w:rPr>
      </w:pPr>
      <w:r w:rsidRPr="000D562F">
        <w:rPr>
          <w:rFonts w:cs="Arial"/>
          <w:b/>
          <w:color w:val="0D0D0D" w:themeColor="text1" w:themeTint="F2"/>
          <w:sz w:val="20"/>
          <w:szCs w:val="20"/>
          <w:lang w:val="en-ZA"/>
        </w:rPr>
        <w:t>World production</w:t>
      </w:r>
      <w:r w:rsidRPr="000D562F">
        <w:rPr>
          <w:rFonts w:cs="Arial"/>
          <w:iCs/>
          <w:color w:val="4F81BD" w:themeColor="accent1"/>
          <w:sz w:val="20"/>
          <w:szCs w:val="20"/>
        </w:rPr>
        <w:t xml:space="preserve"> </w:t>
      </w:r>
    </w:p>
    <w:p w:rsidR="00756496" w:rsidRPr="00A26B4E" w:rsidRDefault="00756496" w:rsidP="00756496">
      <w:pPr>
        <w:jc w:val="both"/>
        <w:rPr>
          <w:rFonts w:cs="Arial"/>
          <w:iCs/>
          <w:sz w:val="20"/>
          <w:szCs w:val="20"/>
        </w:rPr>
      </w:pPr>
      <w:r>
        <w:rPr>
          <w:rFonts w:cs="Arial"/>
          <w:iCs/>
          <w:sz w:val="20"/>
          <w:szCs w:val="20"/>
        </w:rPr>
        <w:t xml:space="preserve">It is important to note that worldwide, the levels of sunflower seed production are determinant of, sunflower oil production levels.  </w:t>
      </w:r>
    </w:p>
    <w:p w:rsidR="00756496" w:rsidRDefault="00756496" w:rsidP="005E3E9F">
      <w:pPr>
        <w:jc w:val="both"/>
        <w:rPr>
          <w:rFonts w:cs="Arial"/>
          <w:iCs/>
          <w:sz w:val="20"/>
          <w:szCs w:val="20"/>
        </w:rPr>
      </w:pPr>
    </w:p>
    <w:p w:rsidR="00756496" w:rsidRDefault="00756496" w:rsidP="005E3E9F">
      <w:pPr>
        <w:jc w:val="both"/>
        <w:rPr>
          <w:rFonts w:cs="Arial"/>
          <w:iCs/>
          <w:sz w:val="20"/>
          <w:szCs w:val="20"/>
        </w:rPr>
      </w:pPr>
    </w:p>
    <w:p w:rsidR="00382D6A" w:rsidRDefault="00382D6A" w:rsidP="005E3E9F">
      <w:pPr>
        <w:jc w:val="both"/>
        <w:rPr>
          <w:rFonts w:cs="Arial"/>
          <w:iCs/>
          <w:sz w:val="20"/>
          <w:szCs w:val="20"/>
        </w:rPr>
      </w:pPr>
      <w:r>
        <w:rPr>
          <w:rFonts w:cs="Arial"/>
          <w:iCs/>
          <w:sz w:val="20"/>
          <w:szCs w:val="20"/>
        </w:rPr>
        <w:lastRenderedPageBreak/>
        <w:t>Sunflower seed oil production make up around 8 % of the total vegetable oil production in the world.  The vegetable oil market is dominated by palm oil (± 33 %), soybean oil (</w:t>
      </w:r>
      <w:r w:rsidR="00840E23">
        <w:rPr>
          <w:rFonts w:cs="Arial"/>
          <w:iCs/>
          <w:sz w:val="20"/>
          <w:szCs w:val="20"/>
        </w:rPr>
        <w:t xml:space="preserve">± 29 %) and rapeseed oil (± 16 %).  </w:t>
      </w:r>
    </w:p>
    <w:p w:rsidR="00382D6A" w:rsidRDefault="00382D6A" w:rsidP="005E3E9F">
      <w:pPr>
        <w:jc w:val="both"/>
        <w:rPr>
          <w:rFonts w:cs="Arial"/>
          <w:iCs/>
          <w:sz w:val="20"/>
          <w:szCs w:val="20"/>
        </w:rPr>
      </w:pPr>
    </w:p>
    <w:p w:rsidR="005E3E9F" w:rsidRPr="00587C7D" w:rsidRDefault="005E3E9F" w:rsidP="005E3E9F">
      <w:pPr>
        <w:jc w:val="both"/>
        <w:rPr>
          <w:rFonts w:cs="Arial"/>
          <w:iCs/>
          <w:sz w:val="20"/>
          <w:szCs w:val="20"/>
        </w:rPr>
      </w:pPr>
      <w:r w:rsidRPr="00587C7D">
        <w:rPr>
          <w:rFonts w:cs="Arial"/>
          <w:iCs/>
          <w:sz w:val="20"/>
          <w:szCs w:val="20"/>
        </w:rPr>
        <w:t>World production has shown an increasing trend over the past 10 years, with Ukraine</w:t>
      </w:r>
      <w:r w:rsidR="00F12A33" w:rsidRPr="00587C7D">
        <w:rPr>
          <w:rFonts w:cs="Arial"/>
          <w:iCs/>
          <w:sz w:val="20"/>
          <w:szCs w:val="20"/>
        </w:rPr>
        <w:t>, the EU and Russia</w:t>
      </w:r>
      <w:r w:rsidRPr="00587C7D">
        <w:rPr>
          <w:rFonts w:cs="Arial"/>
          <w:iCs/>
          <w:sz w:val="20"/>
          <w:szCs w:val="20"/>
        </w:rPr>
        <w:t xml:space="preserve"> being </w:t>
      </w:r>
      <w:r w:rsidR="00A6642C">
        <w:rPr>
          <w:rFonts w:cs="Arial"/>
          <w:iCs/>
          <w:sz w:val="20"/>
          <w:szCs w:val="20"/>
        </w:rPr>
        <w:t>the largest producers</w:t>
      </w:r>
      <w:r w:rsidR="00F12A33" w:rsidRPr="00587C7D">
        <w:rPr>
          <w:rFonts w:cs="Arial"/>
          <w:iCs/>
          <w:sz w:val="20"/>
          <w:szCs w:val="20"/>
        </w:rPr>
        <w:t>. During the 2010/2011 production season</w:t>
      </w:r>
      <w:r w:rsidRPr="00587C7D">
        <w:rPr>
          <w:rFonts w:cs="Arial"/>
          <w:iCs/>
          <w:sz w:val="20"/>
          <w:szCs w:val="20"/>
        </w:rPr>
        <w:t xml:space="preserve">, South Africa was recorded as the </w:t>
      </w:r>
      <w:r w:rsidR="00587C7D" w:rsidRPr="00587C7D">
        <w:rPr>
          <w:rFonts w:cs="Arial"/>
          <w:iCs/>
          <w:sz w:val="20"/>
          <w:szCs w:val="20"/>
        </w:rPr>
        <w:t>9</w:t>
      </w:r>
      <w:r w:rsidRPr="00587C7D">
        <w:rPr>
          <w:rFonts w:cs="Arial"/>
          <w:iCs/>
          <w:sz w:val="20"/>
          <w:szCs w:val="20"/>
          <w:vertAlign w:val="superscript"/>
        </w:rPr>
        <w:t>th</w:t>
      </w:r>
      <w:r w:rsidR="00587C7D" w:rsidRPr="00587C7D">
        <w:rPr>
          <w:rFonts w:cs="Arial"/>
          <w:iCs/>
          <w:sz w:val="20"/>
          <w:szCs w:val="20"/>
        </w:rPr>
        <w:t xml:space="preserve"> largest sunflower producer (USDA</w:t>
      </w:r>
      <w:r w:rsidRPr="00587C7D">
        <w:rPr>
          <w:rFonts w:cs="Arial"/>
          <w:iCs/>
          <w:sz w:val="20"/>
          <w:szCs w:val="20"/>
        </w:rPr>
        <w:t>, 2011).</w:t>
      </w:r>
    </w:p>
    <w:p w:rsidR="00F12A33" w:rsidRDefault="00F12A33" w:rsidP="005E3E9F">
      <w:pPr>
        <w:jc w:val="both"/>
        <w:rPr>
          <w:rFonts w:cs="Arial"/>
          <w:iCs/>
          <w:color w:val="4F81BD" w:themeColor="accent1"/>
          <w:sz w:val="20"/>
          <w:szCs w:val="20"/>
        </w:rPr>
      </w:pPr>
    </w:p>
    <w:p w:rsidR="00756496" w:rsidRPr="00756496" w:rsidRDefault="00F12A33" w:rsidP="00756496">
      <w:pPr>
        <w:jc w:val="both"/>
        <w:rPr>
          <w:rFonts w:cs="Arial"/>
          <w:iCs/>
          <w:color w:val="4F81BD" w:themeColor="accent1"/>
          <w:sz w:val="20"/>
          <w:szCs w:val="20"/>
        </w:rPr>
      </w:pPr>
      <w:r w:rsidRPr="00F12A33">
        <w:rPr>
          <w:rFonts w:cs="Arial"/>
          <w:iCs/>
          <w:noProof/>
          <w:color w:val="4F81BD" w:themeColor="accent1"/>
          <w:sz w:val="20"/>
          <w:szCs w:val="20"/>
          <w:lang w:val="en-US"/>
        </w:rPr>
        <w:drawing>
          <wp:inline distT="0" distB="0" distL="0" distR="0">
            <wp:extent cx="5676900" cy="2605405"/>
            <wp:effectExtent l="19050" t="0" r="19050" b="444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1656" w:rsidRPr="000D1656" w:rsidRDefault="00756496" w:rsidP="008B7ACD">
      <w:pPr>
        <w:keepNext/>
        <w:tabs>
          <w:tab w:val="num" w:pos="1069"/>
        </w:tabs>
        <w:autoSpaceDE w:val="0"/>
        <w:autoSpaceDN w:val="0"/>
        <w:adjustRightInd w:val="0"/>
        <w:jc w:val="both"/>
        <w:rPr>
          <w:rFonts w:cs="Arial"/>
          <w:color w:val="0D0D0D" w:themeColor="text1" w:themeTint="F2"/>
          <w:sz w:val="20"/>
          <w:szCs w:val="20"/>
          <w:lang w:val="en-ZA"/>
        </w:rPr>
      </w:pPr>
      <w:r>
        <w:rPr>
          <w:rFonts w:cs="Arial"/>
          <w:color w:val="0D0D0D" w:themeColor="text1" w:themeTint="F2"/>
          <w:sz w:val="20"/>
          <w:szCs w:val="20"/>
          <w:lang w:val="en-ZA"/>
        </w:rPr>
        <w:t>Figure 1</w:t>
      </w:r>
      <w:r w:rsidR="000D1656" w:rsidRPr="000D1656">
        <w:rPr>
          <w:rFonts w:cs="Arial"/>
          <w:color w:val="0D0D0D" w:themeColor="text1" w:themeTint="F2"/>
          <w:sz w:val="20"/>
          <w:szCs w:val="20"/>
          <w:lang w:val="en-ZA"/>
        </w:rPr>
        <w:t xml:space="preserve">: </w:t>
      </w:r>
      <w:r w:rsidR="000D1656">
        <w:rPr>
          <w:rFonts w:cs="Arial"/>
          <w:color w:val="0D0D0D" w:themeColor="text1" w:themeTint="F2"/>
          <w:sz w:val="20"/>
          <w:szCs w:val="20"/>
          <w:lang w:val="en-ZA"/>
        </w:rPr>
        <w:t xml:space="preserve">The largest </w:t>
      </w:r>
      <w:r w:rsidR="000D1656" w:rsidRPr="000D1656">
        <w:rPr>
          <w:rFonts w:cs="Arial"/>
          <w:color w:val="0D0D0D" w:themeColor="text1" w:themeTint="F2"/>
          <w:sz w:val="20"/>
          <w:szCs w:val="20"/>
          <w:lang w:val="en-ZA"/>
        </w:rPr>
        <w:t>sunflower oil producers</w:t>
      </w:r>
      <w:r w:rsidR="000D1656">
        <w:rPr>
          <w:rFonts w:cs="Arial"/>
          <w:color w:val="0D0D0D" w:themeColor="text1" w:themeTint="F2"/>
          <w:sz w:val="20"/>
          <w:szCs w:val="20"/>
          <w:lang w:val="en-ZA"/>
        </w:rPr>
        <w:t xml:space="preserve"> during 2010/2011</w:t>
      </w:r>
    </w:p>
    <w:p w:rsidR="000D1656" w:rsidRPr="000D1656" w:rsidRDefault="000D1656" w:rsidP="000D1656">
      <w:pPr>
        <w:keepNext/>
        <w:tabs>
          <w:tab w:val="num" w:pos="1069"/>
        </w:tabs>
        <w:autoSpaceDE w:val="0"/>
        <w:autoSpaceDN w:val="0"/>
        <w:adjustRightInd w:val="0"/>
        <w:spacing w:line="360" w:lineRule="auto"/>
        <w:jc w:val="both"/>
        <w:rPr>
          <w:rFonts w:cs="Arial"/>
          <w:color w:val="0D0D0D" w:themeColor="text1" w:themeTint="F2"/>
          <w:sz w:val="20"/>
          <w:szCs w:val="20"/>
          <w:lang w:val="en-ZA"/>
        </w:rPr>
      </w:pPr>
      <w:r w:rsidRPr="000D1656">
        <w:rPr>
          <w:rFonts w:cs="Arial"/>
          <w:color w:val="0D0D0D" w:themeColor="text1" w:themeTint="F2"/>
          <w:sz w:val="20"/>
          <w:szCs w:val="20"/>
          <w:lang w:val="en-ZA"/>
        </w:rPr>
        <w:t>Source: USDA, 2011</w:t>
      </w:r>
    </w:p>
    <w:p w:rsidR="00DD1C61" w:rsidRDefault="00DD1C61" w:rsidP="00DD1C61">
      <w:pPr>
        <w:jc w:val="both"/>
        <w:rPr>
          <w:rFonts w:cs="Arial"/>
          <w:iCs/>
          <w:sz w:val="20"/>
          <w:szCs w:val="20"/>
        </w:rPr>
      </w:pPr>
      <w:r w:rsidRPr="00A26B4E">
        <w:rPr>
          <w:rFonts w:cs="Arial"/>
          <w:iCs/>
          <w:sz w:val="20"/>
          <w:szCs w:val="20"/>
        </w:rPr>
        <w:t>The growth in the oilseed sectors are tightly linked to increased demand for biodiesel feedstock, population driven increased demand for vegetable oil, and demand for oil meals in livestock feed rations (European Commission, 2009).</w:t>
      </w:r>
    </w:p>
    <w:p w:rsidR="003A689F" w:rsidRDefault="003A689F" w:rsidP="00DD1C61">
      <w:pPr>
        <w:jc w:val="both"/>
        <w:rPr>
          <w:rFonts w:cs="Arial"/>
          <w:iCs/>
          <w:sz w:val="20"/>
          <w:szCs w:val="20"/>
        </w:rPr>
      </w:pPr>
    </w:p>
    <w:p w:rsidR="003A689F" w:rsidRDefault="003A689F" w:rsidP="00DD1C61">
      <w:pPr>
        <w:jc w:val="both"/>
        <w:rPr>
          <w:rFonts w:cs="Arial"/>
          <w:iCs/>
          <w:sz w:val="20"/>
          <w:szCs w:val="20"/>
        </w:rPr>
      </w:pPr>
      <w:r>
        <w:rPr>
          <w:rFonts w:cs="Arial"/>
          <w:iCs/>
          <w:sz w:val="20"/>
          <w:szCs w:val="20"/>
        </w:rPr>
        <w:t xml:space="preserve">The global output for sunflower seed </w:t>
      </w:r>
      <w:r w:rsidR="00CC250F">
        <w:rPr>
          <w:rFonts w:cs="Arial"/>
          <w:iCs/>
          <w:sz w:val="20"/>
          <w:szCs w:val="20"/>
        </w:rPr>
        <w:t>are predicted to remain the same in the 2010/11 production season as in the 2009/10 production season.  Unfavourable weather conditions in Eastern Europe hampered sunflower cultiva</w:t>
      </w:r>
      <w:r w:rsidR="00756496">
        <w:rPr>
          <w:rFonts w:cs="Arial"/>
          <w:iCs/>
          <w:sz w:val="20"/>
          <w:szCs w:val="20"/>
        </w:rPr>
        <w:t>tion bu</w:t>
      </w:r>
      <w:r w:rsidR="00CC250F">
        <w:rPr>
          <w:rFonts w:cs="Arial"/>
          <w:iCs/>
          <w:sz w:val="20"/>
          <w:szCs w:val="20"/>
        </w:rPr>
        <w:t>t this is not expected to change global output due to production increases in Argentina, India and Turkey.</w:t>
      </w:r>
    </w:p>
    <w:p w:rsidR="000D1656" w:rsidRDefault="000D1656" w:rsidP="000621CA">
      <w:pPr>
        <w:keepNext/>
        <w:tabs>
          <w:tab w:val="num" w:pos="1069"/>
        </w:tabs>
        <w:autoSpaceDE w:val="0"/>
        <w:autoSpaceDN w:val="0"/>
        <w:adjustRightInd w:val="0"/>
        <w:spacing w:before="240" w:after="120"/>
        <w:jc w:val="both"/>
        <w:rPr>
          <w:rFonts w:cs="Arial"/>
          <w:b/>
          <w:color w:val="0D0D0D" w:themeColor="text1" w:themeTint="F2"/>
          <w:sz w:val="20"/>
          <w:szCs w:val="20"/>
          <w:lang w:val="en-ZA"/>
        </w:rPr>
      </w:pPr>
    </w:p>
    <w:p w:rsidR="0032483F" w:rsidRDefault="0032483F" w:rsidP="000621CA">
      <w:pPr>
        <w:keepNext/>
        <w:tabs>
          <w:tab w:val="num" w:pos="1069"/>
        </w:tabs>
        <w:autoSpaceDE w:val="0"/>
        <w:autoSpaceDN w:val="0"/>
        <w:adjustRightInd w:val="0"/>
        <w:spacing w:before="240" w:after="120"/>
        <w:jc w:val="both"/>
        <w:rPr>
          <w:rFonts w:cs="Arial"/>
          <w:b/>
          <w:color w:val="0D0D0D" w:themeColor="text1" w:themeTint="F2"/>
          <w:sz w:val="20"/>
          <w:szCs w:val="20"/>
          <w:lang w:val="en-ZA"/>
        </w:rPr>
      </w:pPr>
      <w:r w:rsidRPr="000D562F">
        <w:rPr>
          <w:rFonts w:cs="Arial"/>
          <w:b/>
          <w:color w:val="0D0D0D" w:themeColor="text1" w:themeTint="F2"/>
          <w:sz w:val="20"/>
          <w:szCs w:val="20"/>
          <w:lang w:val="en-ZA"/>
        </w:rPr>
        <w:t>South Africa production</w:t>
      </w:r>
    </w:p>
    <w:p w:rsidR="00756496" w:rsidRDefault="00515B37" w:rsidP="00515B37">
      <w:pPr>
        <w:keepNext/>
        <w:tabs>
          <w:tab w:val="num" w:pos="1069"/>
        </w:tabs>
        <w:autoSpaceDE w:val="0"/>
        <w:autoSpaceDN w:val="0"/>
        <w:adjustRightInd w:val="0"/>
        <w:spacing w:before="240" w:after="120"/>
        <w:jc w:val="both"/>
        <w:rPr>
          <w:sz w:val="20"/>
          <w:szCs w:val="20"/>
          <w:lang w:val="en-ZA"/>
        </w:rPr>
      </w:pPr>
      <w:r w:rsidRPr="001949AD">
        <w:rPr>
          <w:sz w:val="20"/>
          <w:szCs w:val="20"/>
          <w:lang w:val="en-ZA"/>
        </w:rPr>
        <w:t>South Africa produced between 500</w:t>
      </w:r>
      <w:r>
        <w:rPr>
          <w:sz w:val="20"/>
          <w:szCs w:val="20"/>
          <w:lang w:val="en-ZA"/>
        </w:rPr>
        <w:t xml:space="preserve"> </w:t>
      </w:r>
      <w:r w:rsidRPr="001949AD">
        <w:rPr>
          <w:sz w:val="20"/>
          <w:szCs w:val="20"/>
          <w:lang w:val="en-ZA"/>
        </w:rPr>
        <w:t>000 to 800</w:t>
      </w:r>
      <w:r>
        <w:rPr>
          <w:sz w:val="20"/>
          <w:szCs w:val="20"/>
          <w:lang w:val="en-ZA"/>
        </w:rPr>
        <w:t xml:space="preserve"> </w:t>
      </w:r>
      <w:r w:rsidRPr="001949AD">
        <w:rPr>
          <w:sz w:val="20"/>
          <w:szCs w:val="20"/>
          <w:lang w:val="en-ZA"/>
        </w:rPr>
        <w:t xml:space="preserve">000 tons of sunflower seed per year </w:t>
      </w:r>
      <w:r w:rsidR="00756496">
        <w:rPr>
          <w:sz w:val="20"/>
          <w:szCs w:val="20"/>
          <w:lang w:val="en-ZA"/>
        </w:rPr>
        <w:t>between</w:t>
      </w:r>
      <w:r w:rsidRPr="001949AD">
        <w:rPr>
          <w:sz w:val="20"/>
          <w:szCs w:val="20"/>
          <w:lang w:val="en-ZA"/>
        </w:rPr>
        <w:t xml:space="preserve"> 2005 to 2010.  </w:t>
      </w:r>
      <w:r>
        <w:rPr>
          <w:sz w:val="20"/>
          <w:szCs w:val="20"/>
          <w:lang w:val="en-ZA"/>
        </w:rPr>
        <w:t>Sunflower seed</w:t>
      </w:r>
      <w:r w:rsidR="00756496">
        <w:rPr>
          <w:sz w:val="20"/>
          <w:szCs w:val="20"/>
          <w:lang w:val="en-ZA"/>
        </w:rPr>
        <w:t>s</w:t>
      </w:r>
      <w:r>
        <w:rPr>
          <w:sz w:val="20"/>
          <w:szCs w:val="20"/>
          <w:lang w:val="en-ZA"/>
        </w:rPr>
        <w:t xml:space="preserve"> are harvested from January up until June depending on the production area and planting time.  Sunflower seed can be stored for up to 12 months.  </w:t>
      </w:r>
      <w:r w:rsidRPr="001949AD">
        <w:rPr>
          <w:sz w:val="20"/>
          <w:szCs w:val="20"/>
          <w:lang w:val="en-ZA"/>
        </w:rPr>
        <w:t>Nearly all of South Africa’s sunflower seed are processed into sunflower seed oil and sunflower seed oilcake for human and animal consumption.</w:t>
      </w:r>
      <w:r>
        <w:rPr>
          <w:sz w:val="20"/>
          <w:szCs w:val="20"/>
          <w:lang w:val="en-ZA"/>
        </w:rPr>
        <w:t xml:space="preserve"> </w:t>
      </w:r>
      <w:r w:rsidR="00756496">
        <w:rPr>
          <w:sz w:val="20"/>
          <w:szCs w:val="20"/>
          <w:lang w:val="en-ZA"/>
        </w:rPr>
        <w:t xml:space="preserve"> </w:t>
      </w:r>
      <w:r>
        <w:rPr>
          <w:sz w:val="20"/>
          <w:szCs w:val="20"/>
          <w:lang w:val="en-ZA"/>
        </w:rPr>
        <w:t>A very small amount of South Africa’s sunflowe</w:t>
      </w:r>
      <w:r w:rsidR="00756496">
        <w:rPr>
          <w:sz w:val="20"/>
          <w:szCs w:val="20"/>
          <w:lang w:val="en-ZA"/>
        </w:rPr>
        <w:t xml:space="preserve">r seed are exported to </w:t>
      </w:r>
      <w:r>
        <w:rPr>
          <w:sz w:val="20"/>
          <w:szCs w:val="20"/>
          <w:lang w:val="en-ZA"/>
        </w:rPr>
        <w:t xml:space="preserve">neighbouring countries.  </w:t>
      </w:r>
      <w:r w:rsidR="00756496">
        <w:rPr>
          <w:sz w:val="20"/>
          <w:szCs w:val="20"/>
          <w:lang w:val="en-ZA"/>
        </w:rPr>
        <w:t>The volumes of sunflower seed produced by South African farmers depends largely on the price of substitute crops such as maize.</w:t>
      </w:r>
    </w:p>
    <w:p w:rsidR="00756496" w:rsidRDefault="00515B37" w:rsidP="00515B37">
      <w:pPr>
        <w:keepNext/>
        <w:tabs>
          <w:tab w:val="num" w:pos="1069"/>
        </w:tabs>
        <w:autoSpaceDE w:val="0"/>
        <w:autoSpaceDN w:val="0"/>
        <w:adjustRightInd w:val="0"/>
        <w:spacing w:before="240" w:after="120"/>
        <w:jc w:val="both"/>
        <w:rPr>
          <w:sz w:val="20"/>
          <w:szCs w:val="20"/>
          <w:lang w:val="en-ZA"/>
        </w:rPr>
      </w:pPr>
      <w:r>
        <w:rPr>
          <w:sz w:val="20"/>
          <w:szCs w:val="20"/>
          <w:lang w:val="en-ZA"/>
        </w:rPr>
        <w:t xml:space="preserve">Over the past three years South Africa produced around 300 000 tons of sunflower seed oil (SAGIS, 2011).  According to a report on the Manufacturing of Oil and Animal Fat in South Africa by Who Owns Whom (Pty) Ltd the current processing capacity for sunflower seed is 1 442 000 – 1 522 000 ton.  The volume of sunflower seed crushed according to the South African Grain Information Service (SAGIS, 2011) is around 500 000 – 800 000 tons indicating that the processing capacity is not fully </w:t>
      </w:r>
      <w:r>
        <w:rPr>
          <w:sz w:val="20"/>
          <w:szCs w:val="20"/>
          <w:lang w:val="en-ZA"/>
        </w:rPr>
        <w:lastRenderedPageBreak/>
        <w:t xml:space="preserve">utilized.  The technology used for processing in South Africa is on par with foreign competitors (need to confirm).  </w:t>
      </w:r>
    </w:p>
    <w:p w:rsidR="00515B37" w:rsidRDefault="00515B37" w:rsidP="00515B37">
      <w:pPr>
        <w:keepNext/>
        <w:tabs>
          <w:tab w:val="num" w:pos="1069"/>
        </w:tabs>
        <w:autoSpaceDE w:val="0"/>
        <w:autoSpaceDN w:val="0"/>
        <w:adjustRightInd w:val="0"/>
        <w:spacing w:before="240" w:after="120"/>
        <w:jc w:val="both"/>
        <w:rPr>
          <w:sz w:val="20"/>
          <w:szCs w:val="20"/>
          <w:lang w:val="en-ZA"/>
        </w:rPr>
      </w:pPr>
      <w:r>
        <w:rPr>
          <w:sz w:val="20"/>
          <w:szCs w:val="20"/>
          <w:lang w:val="en-ZA"/>
        </w:rPr>
        <w:t>Sunflower seed oil has a shelve life of 12 months (FAO, 2010).  The tables below lists the sunflower seed processing companies as well as the oilseed refineries and their capacities.</w:t>
      </w:r>
    </w:p>
    <w:p w:rsidR="008B7ACD" w:rsidRDefault="00537D7B" w:rsidP="008B7ACD">
      <w:pPr>
        <w:keepNext/>
        <w:tabs>
          <w:tab w:val="num" w:pos="1069"/>
        </w:tabs>
        <w:autoSpaceDE w:val="0"/>
        <w:autoSpaceDN w:val="0"/>
        <w:adjustRightInd w:val="0"/>
        <w:spacing w:before="240"/>
        <w:jc w:val="both"/>
        <w:rPr>
          <w:sz w:val="20"/>
          <w:szCs w:val="20"/>
          <w:lang w:val="en-ZA"/>
        </w:rPr>
      </w:pPr>
      <w:r>
        <w:rPr>
          <w:sz w:val="20"/>
          <w:szCs w:val="20"/>
          <w:lang w:val="en-ZA"/>
        </w:rPr>
        <w:t>Table 1</w:t>
      </w:r>
      <w:r w:rsidR="008B7ACD">
        <w:rPr>
          <w:sz w:val="20"/>
          <w:szCs w:val="20"/>
          <w:lang w:val="en-ZA"/>
        </w:rPr>
        <w:t>:  List of processor companies in South Africa</w:t>
      </w:r>
    </w:p>
    <w:tbl>
      <w:tblPr>
        <w:tblStyle w:val="TableGrid"/>
        <w:tblW w:w="9000" w:type="dxa"/>
        <w:tblInd w:w="108" w:type="dxa"/>
        <w:tblLook w:val="04A0"/>
      </w:tblPr>
      <w:tblGrid>
        <w:gridCol w:w="4770"/>
        <w:gridCol w:w="4230"/>
      </w:tblGrid>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Processor Company</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'000 tonnes per annum</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Continental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430</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Nola</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430</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Willowton-Isando</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240-300</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Epko</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200</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Willowton</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144</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Elangeni Oil &amp; Cake</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48</w:t>
            </w:r>
          </w:p>
        </w:tc>
      </w:tr>
      <w:tr w:rsidR="00515B37" w:rsidRPr="008B7ACD" w:rsidTr="008B7ACD">
        <w:trPr>
          <w:trHeight w:val="20"/>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Total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1442 – 1522</w:t>
            </w:r>
          </w:p>
        </w:tc>
      </w:tr>
    </w:tbl>
    <w:p w:rsidR="00515B37" w:rsidRDefault="00515B37" w:rsidP="00515B37">
      <w:pPr>
        <w:keepNext/>
        <w:tabs>
          <w:tab w:val="num" w:pos="1069"/>
        </w:tabs>
        <w:autoSpaceDE w:val="0"/>
        <w:autoSpaceDN w:val="0"/>
        <w:adjustRightInd w:val="0"/>
        <w:jc w:val="both"/>
        <w:rPr>
          <w:sz w:val="20"/>
          <w:szCs w:val="20"/>
          <w:lang w:val="en-ZA"/>
        </w:rPr>
      </w:pPr>
      <w:r>
        <w:rPr>
          <w:sz w:val="20"/>
          <w:szCs w:val="20"/>
          <w:lang w:val="en-ZA"/>
        </w:rPr>
        <w:t>Source: Who Owens Whom (2010)</w:t>
      </w:r>
    </w:p>
    <w:p w:rsidR="00515B37" w:rsidRDefault="00515B37" w:rsidP="00515B37">
      <w:pPr>
        <w:keepNext/>
        <w:tabs>
          <w:tab w:val="num" w:pos="1069"/>
        </w:tabs>
        <w:autoSpaceDE w:val="0"/>
        <w:autoSpaceDN w:val="0"/>
        <w:adjustRightInd w:val="0"/>
        <w:jc w:val="both"/>
        <w:rPr>
          <w:sz w:val="20"/>
          <w:szCs w:val="20"/>
          <w:lang w:val="en-ZA"/>
        </w:rPr>
      </w:pPr>
    </w:p>
    <w:p w:rsidR="008B7ACD" w:rsidRDefault="00537D7B" w:rsidP="00515B37">
      <w:pPr>
        <w:keepNext/>
        <w:tabs>
          <w:tab w:val="num" w:pos="1069"/>
        </w:tabs>
        <w:autoSpaceDE w:val="0"/>
        <w:autoSpaceDN w:val="0"/>
        <w:adjustRightInd w:val="0"/>
        <w:jc w:val="both"/>
        <w:rPr>
          <w:sz w:val="20"/>
          <w:szCs w:val="20"/>
          <w:lang w:val="en-ZA"/>
        </w:rPr>
      </w:pPr>
      <w:r>
        <w:rPr>
          <w:sz w:val="20"/>
          <w:szCs w:val="20"/>
          <w:lang w:val="en-ZA"/>
        </w:rPr>
        <w:t>Table 2</w:t>
      </w:r>
      <w:r w:rsidR="008B7ACD">
        <w:rPr>
          <w:sz w:val="20"/>
          <w:szCs w:val="20"/>
          <w:lang w:val="en-ZA"/>
        </w:rPr>
        <w:t>: List of oilseed refineries in South Africa</w:t>
      </w:r>
    </w:p>
    <w:tbl>
      <w:tblPr>
        <w:tblStyle w:val="TableGrid"/>
        <w:tblW w:w="9000" w:type="dxa"/>
        <w:tblInd w:w="108" w:type="dxa"/>
        <w:tblLook w:val="04A0"/>
      </w:tblPr>
      <w:tblGrid>
        <w:gridCol w:w="4770"/>
        <w:gridCol w:w="4230"/>
      </w:tblGrid>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Oilseed Refineries</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'000 tonnes per annum</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Continental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216</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Willowton</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180</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Nola</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90</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Sealake</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90</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Sun Oil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72</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Sunola</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72</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UBR</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72</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Capital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54</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Elangeni</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54</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sz w:val="18"/>
                <w:szCs w:val="18"/>
                <w:lang w:val="en-ZA"/>
              </w:rPr>
              <w:t>Epko</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54</w:t>
            </w:r>
          </w:p>
        </w:tc>
      </w:tr>
      <w:tr w:rsidR="00515B37" w:rsidRPr="008B7ACD" w:rsidTr="008B7ACD">
        <w:trPr>
          <w:trHeight w:val="144"/>
        </w:trPr>
        <w:tc>
          <w:tcPr>
            <w:tcW w:w="477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
                <w:bCs/>
                <w:sz w:val="18"/>
                <w:szCs w:val="18"/>
                <w:lang w:val="en-ZA"/>
              </w:rPr>
              <w:t>Total</w:t>
            </w:r>
          </w:p>
        </w:tc>
        <w:tc>
          <w:tcPr>
            <w:tcW w:w="4230" w:type="dxa"/>
            <w:vAlign w:val="center"/>
            <w:hideMark/>
          </w:tcPr>
          <w:p w:rsidR="00515B37" w:rsidRPr="008B7ACD" w:rsidRDefault="00515B37" w:rsidP="008B7ACD">
            <w:pPr>
              <w:keepNext/>
              <w:tabs>
                <w:tab w:val="num" w:pos="1069"/>
              </w:tabs>
              <w:autoSpaceDE w:val="0"/>
              <w:autoSpaceDN w:val="0"/>
              <w:adjustRightInd w:val="0"/>
              <w:jc w:val="center"/>
              <w:rPr>
                <w:sz w:val="18"/>
                <w:szCs w:val="18"/>
                <w:lang w:val="en-US"/>
              </w:rPr>
            </w:pPr>
            <w:r w:rsidRPr="008B7ACD">
              <w:rPr>
                <w:bCs/>
                <w:sz w:val="18"/>
                <w:szCs w:val="18"/>
                <w:lang w:val="en-ZA"/>
              </w:rPr>
              <w:t>945</w:t>
            </w:r>
          </w:p>
        </w:tc>
      </w:tr>
    </w:tbl>
    <w:p w:rsidR="00515B37" w:rsidRDefault="00515B37" w:rsidP="00515B37">
      <w:pPr>
        <w:keepNext/>
        <w:tabs>
          <w:tab w:val="num" w:pos="1069"/>
        </w:tabs>
        <w:autoSpaceDE w:val="0"/>
        <w:autoSpaceDN w:val="0"/>
        <w:adjustRightInd w:val="0"/>
        <w:jc w:val="both"/>
        <w:rPr>
          <w:sz w:val="20"/>
          <w:szCs w:val="20"/>
          <w:lang w:val="en-ZA"/>
        </w:rPr>
      </w:pPr>
      <w:r>
        <w:rPr>
          <w:sz w:val="20"/>
          <w:szCs w:val="20"/>
          <w:lang w:val="en-ZA"/>
        </w:rPr>
        <w:t>Source: Who Owens Whom (2010)</w:t>
      </w:r>
    </w:p>
    <w:p w:rsidR="00515B37" w:rsidRDefault="00515B37" w:rsidP="00515B37">
      <w:pPr>
        <w:keepNext/>
        <w:tabs>
          <w:tab w:val="num" w:pos="1069"/>
        </w:tabs>
        <w:autoSpaceDE w:val="0"/>
        <w:autoSpaceDN w:val="0"/>
        <w:adjustRightInd w:val="0"/>
        <w:spacing w:before="240" w:after="120"/>
        <w:jc w:val="both"/>
        <w:rPr>
          <w:sz w:val="20"/>
          <w:szCs w:val="20"/>
          <w:lang w:val="en-ZA"/>
        </w:rPr>
      </w:pPr>
      <w:r>
        <w:rPr>
          <w:sz w:val="20"/>
          <w:szCs w:val="20"/>
          <w:lang w:val="en-ZA"/>
        </w:rPr>
        <w:t xml:space="preserve">The processing and refining company, Willowton oil and Cake Mills are exporting to Southern and Central Africa, the Middle East, the Far East, Europe and the united States (Who Owens Whom, 2010).  </w:t>
      </w:r>
    </w:p>
    <w:p w:rsidR="00515B37" w:rsidRDefault="00515B37" w:rsidP="00515B37">
      <w:pPr>
        <w:keepNext/>
        <w:tabs>
          <w:tab w:val="num" w:pos="1069"/>
        </w:tabs>
        <w:autoSpaceDE w:val="0"/>
        <w:autoSpaceDN w:val="0"/>
        <w:adjustRightInd w:val="0"/>
        <w:spacing w:before="240"/>
        <w:jc w:val="both"/>
        <w:rPr>
          <w:sz w:val="20"/>
          <w:szCs w:val="20"/>
          <w:lang w:val="en-ZA"/>
        </w:rPr>
      </w:pPr>
      <w:r>
        <w:rPr>
          <w:sz w:val="20"/>
          <w:szCs w:val="20"/>
          <w:lang w:val="en-ZA"/>
        </w:rPr>
        <w:t>Contact details of Willowton Oil &amp; Cake Mills</w:t>
      </w:r>
    </w:p>
    <w:p w:rsidR="00515B37" w:rsidRDefault="00515B37" w:rsidP="00515B37">
      <w:pPr>
        <w:keepNext/>
        <w:tabs>
          <w:tab w:val="num" w:pos="1069"/>
        </w:tabs>
        <w:autoSpaceDE w:val="0"/>
        <w:autoSpaceDN w:val="0"/>
        <w:adjustRightInd w:val="0"/>
        <w:jc w:val="both"/>
        <w:rPr>
          <w:sz w:val="20"/>
          <w:szCs w:val="20"/>
          <w:lang w:val="en-ZA"/>
        </w:rPr>
      </w:pPr>
      <w:r>
        <w:rPr>
          <w:sz w:val="20"/>
          <w:szCs w:val="20"/>
          <w:lang w:val="en-ZA"/>
        </w:rPr>
        <w:t>Telephone: +27 33 355 7800</w:t>
      </w:r>
    </w:p>
    <w:p w:rsidR="00515B37" w:rsidRDefault="00515B37" w:rsidP="00515B37">
      <w:pPr>
        <w:keepNext/>
        <w:tabs>
          <w:tab w:val="num" w:pos="1069"/>
        </w:tabs>
        <w:autoSpaceDE w:val="0"/>
        <w:autoSpaceDN w:val="0"/>
        <w:adjustRightInd w:val="0"/>
        <w:jc w:val="both"/>
        <w:rPr>
          <w:sz w:val="20"/>
          <w:szCs w:val="20"/>
          <w:lang w:val="en-ZA"/>
        </w:rPr>
      </w:pPr>
      <w:r>
        <w:rPr>
          <w:sz w:val="20"/>
          <w:szCs w:val="20"/>
          <w:lang w:val="en-ZA"/>
        </w:rPr>
        <w:t>Email:  info@wocm.com</w:t>
      </w:r>
    </w:p>
    <w:p w:rsidR="00515B37" w:rsidRDefault="00515B37" w:rsidP="00515B37">
      <w:pPr>
        <w:keepNext/>
        <w:tabs>
          <w:tab w:val="num" w:pos="1069"/>
        </w:tabs>
        <w:autoSpaceDE w:val="0"/>
        <w:autoSpaceDN w:val="0"/>
        <w:adjustRightInd w:val="0"/>
        <w:spacing w:after="120"/>
        <w:jc w:val="both"/>
        <w:rPr>
          <w:sz w:val="20"/>
          <w:szCs w:val="20"/>
          <w:lang w:val="en-ZA"/>
        </w:rPr>
      </w:pPr>
      <w:r>
        <w:rPr>
          <w:sz w:val="20"/>
          <w:szCs w:val="20"/>
          <w:lang w:val="en-ZA"/>
        </w:rPr>
        <w:t>Web address: www.wocm.com</w:t>
      </w:r>
    </w:p>
    <w:p w:rsidR="00515B37" w:rsidRDefault="00515B37" w:rsidP="00515B37">
      <w:pPr>
        <w:keepNext/>
        <w:tabs>
          <w:tab w:val="num" w:pos="1069"/>
        </w:tabs>
        <w:autoSpaceDE w:val="0"/>
        <w:autoSpaceDN w:val="0"/>
        <w:adjustRightInd w:val="0"/>
        <w:spacing w:after="120"/>
        <w:jc w:val="both"/>
        <w:rPr>
          <w:sz w:val="20"/>
          <w:szCs w:val="20"/>
          <w:lang w:val="en-ZA"/>
        </w:rPr>
      </w:pPr>
      <w:r>
        <w:rPr>
          <w:sz w:val="20"/>
          <w:szCs w:val="20"/>
          <w:lang w:val="en-ZA"/>
        </w:rPr>
        <w:t>Sunflower seed are produced in the Free State Province (46 %) and the North West Province (36 %), (GrainSA, 2011).  The processing and refining takes place in either Gauteng or KwaZulu-Natal near Durban harbour.  The refined sunflower seed oil can then be exported from Durban harbour.</w:t>
      </w:r>
    </w:p>
    <w:p w:rsidR="00515B37" w:rsidRDefault="00515B37" w:rsidP="00515B37">
      <w:pPr>
        <w:keepNext/>
        <w:tabs>
          <w:tab w:val="num" w:pos="1069"/>
        </w:tabs>
        <w:autoSpaceDE w:val="0"/>
        <w:autoSpaceDN w:val="0"/>
        <w:adjustRightInd w:val="0"/>
        <w:spacing w:after="120"/>
        <w:jc w:val="both"/>
        <w:rPr>
          <w:sz w:val="20"/>
          <w:szCs w:val="20"/>
          <w:lang w:val="en-ZA"/>
        </w:rPr>
      </w:pPr>
      <w:r>
        <w:rPr>
          <w:sz w:val="20"/>
          <w:szCs w:val="20"/>
          <w:lang w:val="en-ZA"/>
        </w:rPr>
        <w:t>In South Africa sunflower seed oil is mainly used for human consumption.  It is used at home or in resta</w:t>
      </w:r>
      <w:r w:rsidR="00A7338F">
        <w:rPr>
          <w:sz w:val="20"/>
          <w:szCs w:val="20"/>
          <w:lang w:val="en-ZA"/>
        </w:rPr>
        <w:t>urants and fast food outlets for frying</w:t>
      </w:r>
      <w:r>
        <w:rPr>
          <w:sz w:val="20"/>
          <w:szCs w:val="20"/>
          <w:lang w:val="en-ZA"/>
        </w:rPr>
        <w:t xml:space="preserve"> and it is also used by food manufacturers as an ingredient in many food products such as salad dressings, mayonnaise and margarine.  Sunflower seed oil is also used to a much lesser extend in beauty and laundry soaps.</w:t>
      </w:r>
    </w:p>
    <w:p w:rsidR="00515B37" w:rsidRPr="000D562F" w:rsidRDefault="00515B37" w:rsidP="000621CA">
      <w:pPr>
        <w:keepNext/>
        <w:tabs>
          <w:tab w:val="num" w:pos="1069"/>
        </w:tabs>
        <w:autoSpaceDE w:val="0"/>
        <w:autoSpaceDN w:val="0"/>
        <w:adjustRightInd w:val="0"/>
        <w:spacing w:before="240" w:after="120"/>
        <w:jc w:val="both"/>
        <w:rPr>
          <w:color w:val="4F81BD" w:themeColor="accent1"/>
          <w:sz w:val="20"/>
          <w:szCs w:val="20"/>
          <w:lang w:val="en-ZA"/>
        </w:rPr>
      </w:pPr>
    </w:p>
    <w:p w:rsidR="0032483F" w:rsidRPr="000D562F" w:rsidRDefault="0032483F" w:rsidP="0032483F">
      <w:pPr>
        <w:pStyle w:val="Heading2"/>
        <w:rPr>
          <w:i w:val="0"/>
          <w:sz w:val="20"/>
          <w:szCs w:val="20"/>
          <w:u w:val="single"/>
        </w:rPr>
      </w:pPr>
      <w:bookmarkStart w:id="10" w:name="_Toc290627293"/>
      <w:r w:rsidRPr="000D562F">
        <w:rPr>
          <w:i w:val="0"/>
          <w:sz w:val="20"/>
          <w:szCs w:val="20"/>
          <w:u w:val="single"/>
        </w:rPr>
        <w:t>Consumption</w:t>
      </w:r>
      <w:bookmarkEnd w:id="10"/>
    </w:p>
    <w:p w:rsidR="007C0B30" w:rsidRDefault="007C0B30" w:rsidP="00002BEE">
      <w:pPr>
        <w:jc w:val="both"/>
        <w:rPr>
          <w:rFonts w:cs="Arial"/>
          <w:b/>
          <w:sz w:val="20"/>
          <w:szCs w:val="20"/>
        </w:rPr>
      </w:pPr>
    </w:p>
    <w:p w:rsidR="005132D2" w:rsidRDefault="005132D2" w:rsidP="00002BEE">
      <w:pPr>
        <w:jc w:val="both"/>
        <w:rPr>
          <w:rFonts w:cs="Arial"/>
          <w:sz w:val="20"/>
          <w:szCs w:val="20"/>
        </w:rPr>
      </w:pPr>
      <w:r>
        <w:rPr>
          <w:rFonts w:cs="Arial"/>
          <w:sz w:val="20"/>
          <w:szCs w:val="20"/>
        </w:rPr>
        <w:t xml:space="preserve">In the case of vegetable oil consumption China is the world’s largest consumer.  China is therefore also the largest importer of vegetable oils.  China imported 9 million metric tons of vegetable oil in 2009/10, their imports consisted mainly of soybean oil, palm oil and rapeseed oil.  </w:t>
      </w:r>
      <w:r w:rsidRPr="00476A5B">
        <w:rPr>
          <w:rFonts w:cs="Arial"/>
          <w:sz w:val="20"/>
          <w:szCs w:val="20"/>
        </w:rPr>
        <w:t xml:space="preserve">One of the main </w:t>
      </w:r>
      <w:r w:rsidRPr="00476A5B">
        <w:rPr>
          <w:rFonts w:cs="Arial"/>
          <w:sz w:val="20"/>
          <w:szCs w:val="20"/>
        </w:rPr>
        <w:lastRenderedPageBreak/>
        <w:t>reasons cited for the significant increases in vegetable oil prices experienced lately  is the increased demand for vegetable oils from China (USDA, 201</w:t>
      </w:r>
      <w:r>
        <w:rPr>
          <w:rFonts w:cs="Arial"/>
          <w:sz w:val="20"/>
          <w:szCs w:val="20"/>
        </w:rPr>
        <w:t>1b</w:t>
      </w:r>
      <w:r w:rsidRPr="00476A5B">
        <w:rPr>
          <w:rFonts w:cs="Arial"/>
          <w:sz w:val="20"/>
          <w:szCs w:val="20"/>
        </w:rPr>
        <w:t>)</w:t>
      </w:r>
      <w:r>
        <w:rPr>
          <w:rFonts w:cs="Arial"/>
          <w:sz w:val="20"/>
          <w:szCs w:val="20"/>
        </w:rPr>
        <w:t>.</w:t>
      </w:r>
    </w:p>
    <w:p w:rsidR="005132D2" w:rsidRPr="005132D2" w:rsidRDefault="005132D2" w:rsidP="00002BEE">
      <w:pPr>
        <w:jc w:val="both"/>
        <w:rPr>
          <w:rFonts w:cs="Arial"/>
          <w:sz w:val="20"/>
          <w:szCs w:val="20"/>
        </w:rPr>
      </w:pPr>
    </w:p>
    <w:p w:rsidR="00C35DDF" w:rsidRDefault="005132D2" w:rsidP="00002BEE">
      <w:pPr>
        <w:jc w:val="both"/>
        <w:rPr>
          <w:rFonts w:cs="Arial"/>
          <w:sz w:val="20"/>
          <w:szCs w:val="20"/>
        </w:rPr>
      </w:pPr>
      <w:r>
        <w:rPr>
          <w:rFonts w:cs="Arial"/>
          <w:sz w:val="20"/>
          <w:szCs w:val="20"/>
        </w:rPr>
        <w:t xml:space="preserve">A closer look at the vegetable oil market and more specifically the sunflower oil market shows that  the EU-27 was </w:t>
      </w:r>
      <w:r w:rsidR="004533FD">
        <w:rPr>
          <w:rFonts w:cs="Arial"/>
          <w:sz w:val="20"/>
          <w:szCs w:val="20"/>
        </w:rPr>
        <w:t xml:space="preserve">the second largest importer of sunflower oil during the 2009/10 season (Oct-Sep), </w:t>
      </w:r>
      <w:r w:rsidR="00F704FD">
        <w:rPr>
          <w:rFonts w:cs="Arial"/>
          <w:sz w:val="20"/>
          <w:szCs w:val="20"/>
        </w:rPr>
        <w:t>albeit the EU-27 being ranked</w:t>
      </w:r>
      <w:r w:rsidR="004533FD">
        <w:rPr>
          <w:rFonts w:cs="Arial"/>
          <w:sz w:val="20"/>
          <w:szCs w:val="20"/>
        </w:rPr>
        <w:t xml:space="preserve"> as the largest producer of sunflower oil in the 2009/10 season. </w:t>
      </w:r>
      <w:r w:rsidR="00A7338F">
        <w:rPr>
          <w:rFonts w:cs="Arial"/>
          <w:sz w:val="20"/>
          <w:szCs w:val="20"/>
        </w:rPr>
        <w:t xml:space="preserve"> </w:t>
      </w:r>
      <w:r w:rsidR="004533FD">
        <w:rPr>
          <w:rFonts w:cs="Arial"/>
          <w:sz w:val="20"/>
          <w:szCs w:val="20"/>
        </w:rPr>
        <w:t>This indicates that the sunflower oil</w:t>
      </w:r>
      <w:r w:rsidR="00F704FD">
        <w:rPr>
          <w:rFonts w:cs="Arial"/>
          <w:sz w:val="20"/>
          <w:szCs w:val="20"/>
        </w:rPr>
        <w:t xml:space="preserve"> </w:t>
      </w:r>
      <w:r w:rsidR="00C35DDF">
        <w:rPr>
          <w:rFonts w:cs="Arial"/>
          <w:sz w:val="20"/>
          <w:szCs w:val="20"/>
        </w:rPr>
        <w:t>consumption</w:t>
      </w:r>
      <w:r w:rsidR="004533FD">
        <w:rPr>
          <w:rFonts w:cs="Arial"/>
          <w:sz w:val="20"/>
          <w:szCs w:val="20"/>
        </w:rPr>
        <w:t xml:space="preserve"> exceeds the sunflower oil </w:t>
      </w:r>
      <w:r w:rsidR="00F704FD">
        <w:rPr>
          <w:rFonts w:cs="Arial"/>
          <w:sz w:val="20"/>
          <w:szCs w:val="20"/>
        </w:rPr>
        <w:t>production</w:t>
      </w:r>
      <w:r w:rsidR="004533FD">
        <w:rPr>
          <w:rFonts w:cs="Arial"/>
          <w:sz w:val="20"/>
          <w:szCs w:val="20"/>
        </w:rPr>
        <w:t xml:space="preserve"> in the EU-27. </w:t>
      </w:r>
      <w:r w:rsidR="00A7338F">
        <w:rPr>
          <w:rFonts w:cs="Arial"/>
          <w:sz w:val="20"/>
          <w:szCs w:val="20"/>
        </w:rPr>
        <w:t xml:space="preserve"> </w:t>
      </w:r>
      <w:r w:rsidR="00C35DDF">
        <w:rPr>
          <w:rFonts w:cs="Arial"/>
          <w:sz w:val="20"/>
          <w:szCs w:val="20"/>
        </w:rPr>
        <w:t xml:space="preserve">According to the USDA (2011b), the EU-27 has the largest domestic consumption </w:t>
      </w:r>
      <w:r w:rsidR="00A7338F">
        <w:rPr>
          <w:rFonts w:cs="Arial"/>
          <w:sz w:val="20"/>
          <w:szCs w:val="20"/>
        </w:rPr>
        <w:t xml:space="preserve">of sunflower oil </w:t>
      </w:r>
      <w:r w:rsidR="00C35DDF">
        <w:rPr>
          <w:rFonts w:cs="Arial"/>
          <w:sz w:val="20"/>
          <w:szCs w:val="20"/>
        </w:rPr>
        <w:t>in the world of 3 402 thousand metric tons in 2009/10.</w:t>
      </w:r>
    </w:p>
    <w:p w:rsidR="00C35DDF" w:rsidRDefault="00C35DDF" w:rsidP="00002BEE">
      <w:pPr>
        <w:jc w:val="both"/>
        <w:rPr>
          <w:rFonts w:cs="Arial"/>
          <w:sz w:val="20"/>
          <w:szCs w:val="20"/>
        </w:rPr>
      </w:pPr>
    </w:p>
    <w:p w:rsidR="00CF0F30" w:rsidRDefault="00F704FD" w:rsidP="00CF0F30">
      <w:pPr>
        <w:jc w:val="both"/>
        <w:rPr>
          <w:rFonts w:cs="Arial"/>
          <w:sz w:val="20"/>
          <w:szCs w:val="20"/>
        </w:rPr>
      </w:pPr>
      <w:r>
        <w:rPr>
          <w:rFonts w:cs="Arial"/>
          <w:sz w:val="20"/>
          <w:szCs w:val="20"/>
        </w:rPr>
        <w:t>Within the EU-27</w:t>
      </w:r>
      <w:r w:rsidR="00DD1C61">
        <w:rPr>
          <w:rFonts w:cs="Arial"/>
          <w:sz w:val="20"/>
          <w:szCs w:val="20"/>
        </w:rPr>
        <w:t xml:space="preserve">, the UK </w:t>
      </w:r>
      <w:r>
        <w:rPr>
          <w:rFonts w:cs="Arial"/>
          <w:sz w:val="20"/>
          <w:szCs w:val="20"/>
        </w:rPr>
        <w:t>ranked as</w:t>
      </w:r>
      <w:r w:rsidR="001C7C7C">
        <w:rPr>
          <w:rFonts w:cs="Arial"/>
          <w:sz w:val="20"/>
          <w:szCs w:val="20"/>
        </w:rPr>
        <w:t xml:space="preserve"> the fifth largest consumer of v</w:t>
      </w:r>
      <w:r>
        <w:rPr>
          <w:rFonts w:cs="Arial"/>
          <w:sz w:val="20"/>
          <w:szCs w:val="20"/>
        </w:rPr>
        <w:t>egetable oils and fats in 2007</w:t>
      </w:r>
      <w:r w:rsidR="001C7C7C">
        <w:rPr>
          <w:rFonts w:cs="Arial"/>
          <w:sz w:val="20"/>
          <w:szCs w:val="20"/>
        </w:rPr>
        <w:t>.  Palm oil was the UK’s main consumer product in 2007, followed by sunflower and safflower oil (CBI, 2009).</w:t>
      </w:r>
      <w:r w:rsidR="00EE01DA">
        <w:rPr>
          <w:rFonts w:cs="Arial"/>
          <w:sz w:val="20"/>
          <w:szCs w:val="20"/>
        </w:rPr>
        <w:t xml:space="preserve">  </w:t>
      </w:r>
      <w:r w:rsidR="00EE01DA" w:rsidRPr="00EE01DA">
        <w:rPr>
          <w:rFonts w:cs="Arial"/>
          <w:sz w:val="20"/>
          <w:szCs w:val="20"/>
        </w:rPr>
        <w:t>Between 2003 and 2007, British sunflower oil consumption increased by</w:t>
      </w:r>
      <w:r w:rsidR="00CF0F30">
        <w:rPr>
          <w:rFonts w:cs="Arial"/>
          <w:sz w:val="20"/>
          <w:szCs w:val="20"/>
        </w:rPr>
        <w:t xml:space="preserve"> an annual average rate of 11% and during the same period sunflower and safflower oil imports showed the sharpest annual average increase of all the vegetable oil and fats imports of 34 % (CBI, 2009).</w:t>
      </w:r>
    </w:p>
    <w:p w:rsidR="00CF0F30" w:rsidRDefault="00CF0F30" w:rsidP="00CF0F30">
      <w:pPr>
        <w:jc w:val="both"/>
        <w:rPr>
          <w:rFonts w:cs="Arial"/>
          <w:sz w:val="20"/>
          <w:szCs w:val="20"/>
        </w:rPr>
      </w:pPr>
    </w:p>
    <w:p w:rsidR="00420846" w:rsidRDefault="00CF0F30" w:rsidP="00420846">
      <w:pPr>
        <w:jc w:val="both"/>
        <w:rPr>
          <w:rFonts w:cs="Arial"/>
          <w:sz w:val="20"/>
          <w:szCs w:val="20"/>
        </w:rPr>
      </w:pPr>
      <w:r w:rsidRPr="00EE01DA">
        <w:rPr>
          <w:rFonts w:cs="Arial"/>
          <w:sz w:val="20"/>
          <w:szCs w:val="20"/>
        </w:rPr>
        <w:t>The main market segments for vegetable oils and fats in the United Kingdom are the traditional food markets and the bio diesel sector</w:t>
      </w:r>
      <w:r>
        <w:rPr>
          <w:rFonts w:cs="Arial"/>
          <w:sz w:val="20"/>
          <w:szCs w:val="20"/>
        </w:rPr>
        <w:t xml:space="preserve">.  Sunflower oil accounted for 23 % of the UK’s total industrial demand in 2007 (CBI, 2009).  </w:t>
      </w:r>
      <w:r w:rsidR="00A20A69">
        <w:rPr>
          <w:rFonts w:cs="Arial"/>
          <w:sz w:val="20"/>
          <w:szCs w:val="20"/>
        </w:rPr>
        <w:t xml:space="preserve">The demand for biofuels </w:t>
      </w:r>
      <w:r>
        <w:rPr>
          <w:rFonts w:cs="Arial"/>
          <w:sz w:val="20"/>
          <w:szCs w:val="20"/>
        </w:rPr>
        <w:t xml:space="preserve">plays a large role in </w:t>
      </w:r>
      <w:r w:rsidR="00A20A69">
        <w:rPr>
          <w:rFonts w:cs="Arial"/>
          <w:sz w:val="20"/>
          <w:szCs w:val="20"/>
        </w:rPr>
        <w:t>the market for vegetable oils and fats</w:t>
      </w:r>
      <w:r w:rsidR="00420846">
        <w:rPr>
          <w:rFonts w:cs="Arial"/>
          <w:sz w:val="20"/>
          <w:szCs w:val="20"/>
        </w:rPr>
        <w:t>.</w:t>
      </w:r>
      <w:r w:rsidR="00420846" w:rsidRPr="00420846">
        <w:rPr>
          <w:rFonts w:cs="Arial"/>
          <w:sz w:val="20"/>
          <w:szCs w:val="20"/>
        </w:rPr>
        <w:t xml:space="preserve"> </w:t>
      </w:r>
      <w:r w:rsidR="00420846">
        <w:rPr>
          <w:rFonts w:cs="Arial"/>
          <w:sz w:val="20"/>
          <w:szCs w:val="20"/>
        </w:rPr>
        <w:t xml:space="preserve"> Between 2005 and 2007, global biodiesel production increased from 4.5 to 11.5 billion litres and in 2008 world production jumped even more to 16.3 litres (European Commission, 2009).  The EU is the most important player in the biodiesel sector, with a share of 50 % of global production, corresponding to roughly 8 billion litres, and 66 % on consumption in 2008.  </w:t>
      </w:r>
    </w:p>
    <w:p w:rsidR="00420846" w:rsidRDefault="00420846" w:rsidP="00002BEE">
      <w:pPr>
        <w:jc w:val="both"/>
        <w:rPr>
          <w:rFonts w:cs="Arial"/>
          <w:sz w:val="20"/>
          <w:szCs w:val="20"/>
        </w:rPr>
      </w:pPr>
    </w:p>
    <w:p w:rsidR="002A1649" w:rsidRDefault="002A1649" w:rsidP="00002BEE">
      <w:pPr>
        <w:jc w:val="both"/>
        <w:rPr>
          <w:rFonts w:cs="Arial"/>
          <w:sz w:val="20"/>
          <w:szCs w:val="20"/>
        </w:rPr>
      </w:pPr>
      <w:r>
        <w:rPr>
          <w:rFonts w:cs="Arial"/>
          <w:sz w:val="20"/>
          <w:szCs w:val="20"/>
        </w:rPr>
        <w:t xml:space="preserve">The economic downturn benefited many product areas in nutrition/staples, due to consumers </w:t>
      </w:r>
      <w:r w:rsidR="00C33691">
        <w:rPr>
          <w:rFonts w:cs="Arial"/>
          <w:sz w:val="20"/>
          <w:szCs w:val="20"/>
        </w:rPr>
        <w:t>increasingly opting for home-cooked food.  This benefited products used for cooking evening meals, such as pasta, rice, vegetables and cooking oil.</w:t>
      </w:r>
      <w:r w:rsidR="00537D7B">
        <w:rPr>
          <w:rFonts w:cs="Arial"/>
          <w:sz w:val="20"/>
          <w:szCs w:val="20"/>
        </w:rPr>
        <w:t xml:space="preserve">  Figure 2 shows the value and volume of packaged food sales in the UK for the category oils and fat over time as well as Euromonitor International’s projections for volumes.  It is evident from the figure below that oils and fats consumption in the UK has shown a strong increasing trend over the past few years and it is projected to continue in the future.</w:t>
      </w:r>
    </w:p>
    <w:p w:rsidR="00A20A69" w:rsidRDefault="00A20A69" w:rsidP="00002BEE">
      <w:pPr>
        <w:jc w:val="both"/>
        <w:rPr>
          <w:rFonts w:cs="Arial"/>
          <w:sz w:val="20"/>
          <w:szCs w:val="20"/>
        </w:rPr>
      </w:pPr>
    </w:p>
    <w:p w:rsidR="00EB76AB" w:rsidRDefault="00EB76AB" w:rsidP="00002BEE">
      <w:pPr>
        <w:jc w:val="both"/>
        <w:rPr>
          <w:rFonts w:cs="Arial"/>
          <w:sz w:val="20"/>
          <w:szCs w:val="20"/>
        </w:rPr>
      </w:pPr>
      <w:r w:rsidRPr="00EB76AB">
        <w:rPr>
          <w:rFonts w:cs="Arial"/>
          <w:noProof/>
          <w:sz w:val="20"/>
          <w:szCs w:val="20"/>
          <w:lang w:val="en-US"/>
        </w:rPr>
        <w:drawing>
          <wp:inline distT="0" distB="0" distL="0" distR="0">
            <wp:extent cx="5678805" cy="2190750"/>
            <wp:effectExtent l="19050" t="0" r="1714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76AB" w:rsidRDefault="00537D7B" w:rsidP="00002BEE">
      <w:pPr>
        <w:jc w:val="both"/>
        <w:rPr>
          <w:rFonts w:cs="Arial"/>
          <w:sz w:val="20"/>
          <w:szCs w:val="20"/>
        </w:rPr>
      </w:pPr>
      <w:r>
        <w:rPr>
          <w:rFonts w:cs="Arial"/>
          <w:sz w:val="20"/>
          <w:szCs w:val="20"/>
        </w:rPr>
        <w:t>Figure.2</w:t>
      </w:r>
      <w:r w:rsidR="00EB76AB">
        <w:rPr>
          <w:rFonts w:cs="Arial"/>
          <w:sz w:val="20"/>
          <w:szCs w:val="20"/>
        </w:rPr>
        <w:t>:</w:t>
      </w:r>
      <w:r>
        <w:rPr>
          <w:rFonts w:cs="Arial"/>
          <w:sz w:val="20"/>
          <w:szCs w:val="20"/>
        </w:rPr>
        <w:t xml:space="preserve">  Value an volume of sales of packaged food in the UK: Oils and fats category</w:t>
      </w:r>
    </w:p>
    <w:p w:rsidR="00EB76AB" w:rsidRDefault="00795D6F" w:rsidP="00002BEE">
      <w:pPr>
        <w:jc w:val="both"/>
        <w:rPr>
          <w:rFonts w:cs="Arial"/>
          <w:sz w:val="20"/>
          <w:szCs w:val="20"/>
        </w:rPr>
      </w:pPr>
      <w:r>
        <w:rPr>
          <w:rFonts w:cs="Arial"/>
          <w:sz w:val="20"/>
          <w:szCs w:val="20"/>
        </w:rPr>
        <w:t>Source:  Euromonitor International</w:t>
      </w:r>
    </w:p>
    <w:p w:rsidR="00A20A69" w:rsidRDefault="00A20A69" w:rsidP="00002BEE">
      <w:pPr>
        <w:jc w:val="both"/>
        <w:rPr>
          <w:rFonts w:cs="Arial"/>
          <w:sz w:val="20"/>
          <w:szCs w:val="20"/>
        </w:rPr>
      </w:pPr>
    </w:p>
    <w:p w:rsidR="00A20A69" w:rsidRDefault="00A306F7" w:rsidP="00002BEE">
      <w:pPr>
        <w:jc w:val="both"/>
        <w:rPr>
          <w:rFonts w:cs="Arial"/>
          <w:sz w:val="20"/>
          <w:szCs w:val="20"/>
        </w:rPr>
      </w:pPr>
      <w:r>
        <w:rPr>
          <w:rFonts w:cs="Arial"/>
          <w:sz w:val="20"/>
          <w:szCs w:val="20"/>
        </w:rPr>
        <w:t xml:space="preserve">The FAO reported that </w:t>
      </w:r>
      <w:r w:rsidR="00795D6F">
        <w:rPr>
          <w:rFonts w:cs="Arial"/>
          <w:sz w:val="20"/>
          <w:szCs w:val="20"/>
        </w:rPr>
        <w:t xml:space="preserve">the largest increase in sunflower oil imports is expected to take place in the EU-27 region.  The FAO further stated that the EU is one of the world’s largest importers of vegetable oils and that a rise in imports will be required to satisfy internal demand for oil and for food and, in particular, non-food (biofuel) </w:t>
      </w:r>
      <w:r w:rsidR="002E0027">
        <w:rPr>
          <w:rFonts w:cs="Arial"/>
          <w:sz w:val="20"/>
          <w:szCs w:val="20"/>
        </w:rPr>
        <w:t>purposes (FAO,2010</w:t>
      </w:r>
      <w:r w:rsidR="007C26AD">
        <w:rPr>
          <w:rFonts w:cs="Arial"/>
          <w:sz w:val="20"/>
          <w:szCs w:val="20"/>
        </w:rPr>
        <w:t>.)</w:t>
      </w:r>
    </w:p>
    <w:p w:rsidR="007C26AD" w:rsidRDefault="007C26AD" w:rsidP="00002BEE">
      <w:pPr>
        <w:jc w:val="both"/>
        <w:rPr>
          <w:rFonts w:cs="Arial"/>
          <w:sz w:val="20"/>
          <w:szCs w:val="20"/>
        </w:rPr>
      </w:pPr>
    </w:p>
    <w:p w:rsidR="003A689F" w:rsidRDefault="003A689F" w:rsidP="00002BEE">
      <w:pPr>
        <w:jc w:val="both"/>
        <w:rPr>
          <w:rFonts w:cs="Arial"/>
          <w:sz w:val="20"/>
          <w:szCs w:val="20"/>
        </w:rPr>
      </w:pPr>
    </w:p>
    <w:p w:rsidR="007C26AD" w:rsidRDefault="003A689F" w:rsidP="00002BEE">
      <w:pPr>
        <w:jc w:val="both"/>
        <w:rPr>
          <w:rFonts w:cs="Arial"/>
          <w:sz w:val="20"/>
          <w:szCs w:val="20"/>
        </w:rPr>
      </w:pPr>
      <w:r>
        <w:rPr>
          <w:rFonts w:cs="Arial"/>
          <w:sz w:val="20"/>
          <w:szCs w:val="20"/>
        </w:rPr>
        <w:lastRenderedPageBreak/>
        <w:t>It is forecasted by the FAO Food Outlook that a</w:t>
      </w:r>
      <w:r w:rsidR="00D5248C">
        <w:rPr>
          <w:rFonts w:cs="Arial"/>
          <w:sz w:val="20"/>
          <w:szCs w:val="20"/>
        </w:rPr>
        <w:t xml:space="preserve"> net decrease in stocks appears to be very likely in the EU due to weak production and rising domestic consumption.</w:t>
      </w:r>
      <w:r>
        <w:rPr>
          <w:rFonts w:cs="Arial"/>
          <w:sz w:val="20"/>
          <w:szCs w:val="20"/>
        </w:rPr>
        <w:t xml:space="preserve">  Oils/fats imports by the EU are expected to climb to a new record, given the concurrence of poor rapeseed harvests with further rising demand from biofuel producers.</w:t>
      </w:r>
    </w:p>
    <w:p w:rsidR="003E417F" w:rsidRDefault="003E417F" w:rsidP="00002BEE">
      <w:pPr>
        <w:jc w:val="both"/>
        <w:rPr>
          <w:rFonts w:cs="Arial"/>
          <w:sz w:val="20"/>
          <w:szCs w:val="20"/>
        </w:rPr>
      </w:pPr>
    </w:p>
    <w:p w:rsidR="003E417F" w:rsidRDefault="003E417F"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A20A69" w:rsidRDefault="00A20A69" w:rsidP="00002BEE">
      <w:pPr>
        <w:jc w:val="both"/>
        <w:rPr>
          <w:rFonts w:cs="Arial"/>
          <w:sz w:val="20"/>
          <w:szCs w:val="20"/>
        </w:rPr>
      </w:pPr>
    </w:p>
    <w:p w:rsidR="001A6F09" w:rsidRDefault="002E0027" w:rsidP="002E0027">
      <w:pPr>
        <w:rPr>
          <w:rFonts w:cs="Arial"/>
          <w:sz w:val="20"/>
          <w:szCs w:val="20"/>
        </w:rPr>
      </w:pPr>
      <w:r>
        <w:rPr>
          <w:rFonts w:cs="Arial"/>
          <w:sz w:val="20"/>
          <w:szCs w:val="20"/>
        </w:rPr>
        <w:br w:type="page"/>
      </w:r>
    </w:p>
    <w:p w:rsidR="006C3289" w:rsidRPr="000D562F" w:rsidRDefault="00235D21" w:rsidP="00ED20B8">
      <w:pPr>
        <w:pStyle w:val="Heading1"/>
        <w:pBdr>
          <w:top w:val="single" w:sz="4" w:space="1" w:color="auto"/>
          <w:bottom w:val="single" w:sz="4" w:space="1" w:color="auto"/>
        </w:pBdr>
        <w:jc w:val="center"/>
        <w:rPr>
          <w:sz w:val="20"/>
          <w:szCs w:val="20"/>
        </w:rPr>
      </w:pPr>
      <w:bookmarkStart w:id="11" w:name="_Toc290627294"/>
      <w:r w:rsidRPr="000D562F">
        <w:rPr>
          <w:sz w:val="20"/>
          <w:szCs w:val="20"/>
        </w:rPr>
        <w:lastRenderedPageBreak/>
        <w:t>B. Foreign Trade</w:t>
      </w:r>
      <w:r w:rsidR="001B585B" w:rsidRPr="000D562F">
        <w:rPr>
          <w:sz w:val="20"/>
          <w:szCs w:val="20"/>
        </w:rPr>
        <w:t xml:space="preserve"> and P</w:t>
      </w:r>
      <w:r w:rsidR="006B266F" w:rsidRPr="000D562F">
        <w:rPr>
          <w:sz w:val="20"/>
          <w:szCs w:val="20"/>
        </w:rPr>
        <w:t xml:space="preserve">otential </w:t>
      </w:r>
      <w:r w:rsidR="00B5199B" w:rsidRPr="000D562F">
        <w:rPr>
          <w:sz w:val="20"/>
          <w:szCs w:val="20"/>
        </w:rPr>
        <w:t xml:space="preserve">Importing </w:t>
      </w:r>
      <w:r w:rsidR="001B585B" w:rsidRPr="000D562F">
        <w:rPr>
          <w:sz w:val="20"/>
          <w:szCs w:val="20"/>
        </w:rPr>
        <w:t>M</w:t>
      </w:r>
      <w:r w:rsidR="006B266F" w:rsidRPr="000D562F">
        <w:rPr>
          <w:sz w:val="20"/>
          <w:szCs w:val="20"/>
        </w:rPr>
        <w:t>arkets</w:t>
      </w:r>
      <w:bookmarkEnd w:id="11"/>
    </w:p>
    <w:p w:rsidR="006C3289" w:rsidRPr="000D562F" w:rsidRDefault="00235D21">
      <w:pPr>
        <w:pStyle w:val="Heading2"/>
        <w:rPr>
          <w:i w:val="0"/>
          <w:sz w:val="20"/>
          <w:szCs w:val="20"/>
          <w:u w:val="single"/>
        </w:rPr>
      </w:pPr>
      <w:bookmarkStart w:id="12" w:name="_Toc290627295"/>
      <w:r w:rsidRPr="000D562F">
        <w:rPr>
          <w:i w:val="0"/>
          <w:sz w:val="20"/>
          <w:szCs w:val="20"/>
          <w:u w:val="single"/>
        </w:rPr>
        <w:t>Foreign Trade</w:t>
      </w:r>
      <w:bookmarkEnd w:id="12"/>
    </w:p>
    <w:p w:rsidR="006C3289" w:rsidRPr="000D562F" w:rsidRDefault="006C3289">
      <w:pPr>
        <w:ind w:left="360"/>
        <w:jc w:val="both"/>
        <w:rPr>
          <w:rFonts w:cs="Arial"/>
          <w:sz w:val="20"/>
          <w:szCs w:val="20"/>
        </w:rPr>
      </w:pPr>
    </w:p>
    <w:p w:rsidR="006C3289" w:rsidRDefault="00235D21" w:rsidP="00ED20B8">
      <w:pPr>
        <w:ind w:firstLine="284"/>
        <w:jc w:val="both"/>
        <w:rPr>
          <w:rFonts w:cs="Arial"/>
          <w:b/>
          <w:color w:val="0D0D0D" w:themeColor="text1" w:themeTint="F2"/>
          <w:sz w:val="20"/>
          <w:szCs w:val="20"/>
          <w:lang w:val="en-ZA"/>
        </w:rPr>
      </w:pPr>
      <w:r w:rsidRPr="000D562F">
        <w:rPr>
          <w:rFonts w:cs="Arial"/>
          <w:b/>
          <w:color w:val="0D0D0D" w:themeColor="text1" w:themeTint="F2"/>
          <w:sz w:val="20"/>
          <w:szCs w:val="20"/>
          <w:lang w:val="en-ZA"/>
        </w:rPr>
        <w:t>World Trade characteristics for selected product</w:t>
      </w:r>
    </w:p>
    <w:p w:rsidR="008250EB" w:rsidRPr="000D562F" w:rsidRDefault="008250EB" w:rsidP="00ED20B8">
      <w:pPr>
        <w:ind w:firstLine="284"/>
        <w:jc w:val="both"/>
        <w:rPr>
          <w:rFonts w:cs="Arial"/>
          <w:b/>
          <w:color w:val="0D0D0D" w:themeColor="text1" w:themeTint="F2"/>
          <w:sz w:val="20"/>
          <w:szCs w:val="20"/>
        </w:rPr>
      </w:pPr>
    </w:p>
    <w:p w:rsidR="008250EB" w:rsidRPr="008250EB" w:rsidRDefault="008250EB" w:rsidP="008250EB">
      <w:pPr>
        <w:jc w:val="both"/>
        <w:rPr>
          <w:rFonts w:cs="Arial"/>
          <w:bCs/>
          <w:sz w:val="20"/>
          <w:szCs w:val="20"/>
        </w:rPr>
      </w:pPr>
      <w:r w:rsidRPr="008250EB">
        <w:rPr>
          <w:rFonts w:cs="Arial"/>
          <w:sz w:val="20"/>
          <w:szCs w:val="20"/>
          <w:lang w:val="en-ZA"/>
        </w:rPr>
        <w:t>The total world trade in sunflower oil</w:t>
      </w:r>
      <w:r>
        <w:rPr>
          <w:rFonts w:cs="Arial"/>
          <w:sz w:val="20"/>
          <w:szCs w:val="20"/>
          <w:lang w:val="en-ZA"/>
        </w:rPr>
        <w:t xml:space="preserve"> </w:t>
      </w:r>
      <w:r w:rsidRPr="008250EB">
        <w:rPr>
          <w:rFonts w:cs="Arial"/>
          <w:sz w:val="20"/>
          <w:szCs w:val="20"/>
          <w:lang w:val="en-ZA"/>
        </w:rPr>
        <w:t xml:space="preserve">were </w:t>
      </w:r>
      <w:r w:rsidRPr="008250EB">
        <w:rPr>
          <w:rFonts w:cs="Arial"/>
          <w:bCs/>
          <w:sz w:val="20"/>
          <w:szCs w:val="20"/>
        </w:rPr>
        <w:t>US$2 billion in 2009. The annual growth in the value of the worlds sunflower oil exports were 22% annually since 2006.  As the annual growth in the quantity exported is - 8% over the last 4 years, the growth in value (22%) is much higher than the growth in quantity. This mean that less sunflower seed oil is trade, but the value of exports are higher.</w:t>
      </w:r>
      <w:r w:rsidR="00CE0467">
        <w:rPr>
          <w:rFonts w:cs="Arial"/>
          <w:bCs/>
          <w:sz w:val="20"/>
          <w:szCs w:val="20"/>
        </w:rPr>
        <w:t xml:space="preserve"> </w:t>
      </w:r>
      <w:r w:rsidRPr="008250EB">
        <w:rPr>
          <w:rFonts w:cs="Arial"/>
          <w:bCs/>
          <w:sz w:val="20"/>
          <w:szCs w:val="20"/>
        </w:rPr>
        <w:t>In total there are 190 importing countries in the world, that imports sunflower-seed oil and 100 exporting countries of sunflower-seed oil in the world.</w:t>
      </w:r>
    </w:p>
    <w:p w:rsidR="008250EB" w:rsidRPr="008250EB" w:rsidRDefault="008250EB" w:rsidP="008250EB">
      <w:pPr>
        <w:jc w:val="both"/>
        <w:rPr>
          <w:rFonts w:cs="Arial"/>
          <w:sz w:val="20"/>
          <w:szCs w:val="20"/>
        </w:rPr>
      </w:pPr>
    </w:p>
    <w:p w:rsidR="008250EB" w:rsidRPr="008250EB" w:rsidRDefault="008250EB" w:rsidP="008250EB">
      <w:pPr>
        <w:spacing w:before="200"/>
        <w:ind w:left="45"/>
        <w:jc w:val="both"/>
        <w:rPr>
          <w:rFonts w:cs="Arial"/>
          <w:sz w:val="20"/>
          <w:szCs w:val="20"/>
          <w:lang w:val="en-ZA"/>
        </w:rPr>
      </w:pPr>
      <w:r w:rsidRPr="008250EB">
        <w:rPr>
          <w:rFonts w:cs="Arial"/>
          <w:noProof/>
          <w:sz w:val="20"/>
          <w:szCs w:val="20"/>
          <w:lang w:val="en-US"/>
        </w:rPr>
        <w:drawing>
          <wp:inline distT="0" distB="0" distL="0" distR="0">
            <wp:extent cx="5708889" cy="2182854"/>
            <wp:effectExtent l="19050" t="0" r="25161" b="7896"/>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250EB" w:rsidRPr="004777AC" w:rsidRDefault="00C04E0D" w:rsidP="008250EB">
      <w:pPr>
        <w:jc w:val="both"/>
        <w:rPr>
          <w:rFonts w:cs="Arial"/>
          <w:sz w:val="20"/>
          <w:szCs w:val="20"/>
        </w:rPr>
      </w:pPr>
      <w:r>
        <w:rPr>
          <w:rFonts w:cs="Arial"/>
          <w:sz w:val="20"/>
          <w:szCs w:val="20"/>
        </w:rPr>
        <w:t>Figure 3:</w:t>
      </w:r>
      <w:r w:rsidR="008250EB" w:rsidRPr="004777AC">
        <w:rPr>
          <w:rFonts w:cs="Arial"/>
          <w:sz w:val="20"/>
          <w:szCs w:val="20"/>
        </w:rPr>
        <w:t xml:space="preserve"> Imported value of </w:t>
      </w:r>
      <w:r w:rsidR="008250EB" w:rsidRPr="004777AC">
        <w:rPr>
          <w:rFonts w:cs="Arial"/>
          <w:bCs/>
          <w:sz w:val="20"/>
          <w:szCs w:val="20"/>
        </w:rPr>
        <w:t>sunflower-seed oil in the world (2006 – 2009)</w:t>
      </w:r>
    </w:p>
    <w:p w:rsidR="008250EB" w:rsidRPr="004777AC" w:rsidRDefault="008250EB" w:rsidP="008250EB">
      <w:pPr>
        <w:jc w:val="both"/>
        <w:rPr>
          <w:rFonts w:cs="Arial"/>
          <w:sz w:val="20"/>
          <w:szCs w:val="20"/>
          <w:lang w:val="en-ZA"/>
        </w:rPr>
      </w:pPr>
      <w:r w:rsidRPr="004777AC">
        <w:rPr>
          <w:rFonts w:cs="Arial"/>
          <w:sz w:val="20"/>
          <w:szCs w:val="20"/>
          <w:lang w:val="en-ZA"/>
        </w:rPr>
        <w:t>Source: Trade Map</w:t>
      </w:r>
      <w:r w:rsidR="004B483D" w:rsidRPr="004777AC">
        <w:rPr>
          <w:rFonts w:cs="Arial"/>
          <w:sz w:val="20"/>
          <w:szCs w:val="20"/>
          <w:lang w:val="en-ZA"/>
        </w:rPr>
        <w:t>, 2011</w:t>
      </w:r>
    </w:p>
    <w:p w:rsidR="00CE0467" w:rsidRPr="004777AC" w:rsidRDefault="00CE0467" w:rsidP="00CE0467">
      <w:pPr>
        <w:jc w:val="both"/>
        <w:rPr>
          <w:rFonts w:cs="Arial"/>
          <w:sz w:val="20"/>
          <w:szCs w:val="20"/>
          <w:lang w:val="en-ZA"/>
        </w:rPr>
      </w:pPr>
    </w:p>
    <w:p w:rsidR="00CE0467" w:rsidRPr="004777AC" w:rsidRDefault="00CE60C0" w:rsidP="00CE0467">
      <w:pPr>
        <w:jc w:val="both"/>
        <w:rPr>
          <w:rFonts w:cs="Arial"/>
          <w:sz w:val="20"/>
          <w:szCs w:val="20"/>
          <w:lang w:val="en-ZA"/>
        </w:rPr>
      </w:pPr>
      <w:r w:rsidRPr="004777AC">
        <w:rPr>
          <w:rFonts w:cs="Arial"/>
          <w:sz w:val="20"/>
          <w:szCs w:val="20"/>
          <w:lang w:val="en-ZA"/>
        </w:rPr>
        <w:t>T</w:t>
      </w:r>
      <w:r w:rsidR="00CE0467" w:rsidRPr="004777AC">
        <w:rPr>
          <w:rFonts w:cs="Arial"/>
          <w:sz w:val="20"/>
          <w:szCs w:val="20"/>
          <w:lang w:val="en-ZA"/>
        </w:rPr>
        <w:t xml:space="preserve">able </w:t>
      </w:r>
      <w:r w:rsidR="00677EA2">
        <w:rPr>
          <w:rFonts w:cs="Arial"/>
          <w:sz w:val="20"/>
          <w:szCs w:val="20"/>
          <w:lang w:val="en-ZA"/>
        </w:rPr>
        <w:t>3</w:t>
      </w:r>
      <w:r w:rsidRPr="004777AC">
        <w:rPr>
          <w:rFonts w:cs="Arial"/>
          <w:sz w:val="20"/>
          <w:szCs w:val="20"/>
          <w:lang w:val="en-ZA"/>
        </w:rPr>
        <w:t xml:space="preserve"> shows the leading importers and exporters of sunflower oil. The top</w:t>
      </w:r>
      <w:r w:rsidR="00CE0467" w:rsidRPr="004777AC">
        <w:rPr>
          <w:rFonts w:cs="Arial"/>
          <w:sz w:val="20"/>
          <w:szCs w:val="20"/>
          <w:lang w:val="en-ZA"/>
        </w:rPr>
        <w:t xml:space="preserve"> importers of</w:t>
      </w:r>
      <w:r w:rsidRPr="004777AC">
        <w:rPr>
          <w:rFonts w:cs="Arial"/>
          <w:sz w:val="20"/>
          <w:szCs w:val="20"/>
          <w:lang w:val="en-ZA"/>
        </w:rPr>
        <w:t xml:space="preserve"> sunflower-seed oil import</w:t>
      </w:r>
      <w:r w:rsidR="00CE0467" w:rsidRPr="004777AC">
        <w:rPr>
          <w:rFonts w:cs="Arial"/>
          <w:sz w:val="20"/>
          <w:szCs w:val="20"/>
          <w:lang w:val="en-ZA"/>
        </w:rPr>
        <w:t xml:space="preserve"> 22.4% of total imports, </w:t>
      </w:r>
      <w:r w:rsidRPr="004777AC">
        <w:rPr>
          <w:rFonts w:cs="Arial"/>
          <w:sz w:val="20"/>
          <w:szCs w:val="20"/>
          <w:lang w:val="en-ZA"/>
        </w:rPr>
        <w:t xml:space="preserve">indicating that imports are not concentrated. The same table shows that the </w:t>
      </w:r>
      <w:r w:rsidR="00CE0467" w:rsidRPr="004777AC">
        <w:rPr>
          <w:rFonts w:cs="Arial"/>
          <w:sz w:val="20"/>
          <w:szCs w:val="20"/>
          <w:lang w:val="en-ZA"/>
        </w:rPr>
        <w:t xml:space="preserve">top </w:t>
      </w:r>
      <w:r w:rsidRPr="004777AC">
        <w:rPr>
          <w:rFonts w:cs="Arial"/>
          <w:sz w:val="20"/>
          <w:szCs w:val="20"/>
          <w:lang w:val="en-ZA"/>
        </w:rPr>
        <w:t>exporters</w:t>
      </w:r>
      <w:r w:rsidR="00225DAC" w:rsidRPr="004777AC">
        <w:rPr>
          <w:rFonts w:cs="Arial"/>
          <w:sz w:val="20"/>
          <w:szCs w:val="20"/>
          <w:lang w:val="en-ZA"/>
        </w:rPr>
        <w:t xml:space="preserve"> contribute</w:t>
      </w:r>
      <w:r w:rsidR="00CE0467" w:rsidRPr="004777AC">
        <w:rPr>
          <w:rFonts w:cs="Arial"/>
          <w:sz w:val="20"/>
          <w:szCs w:val="20"/>
          <w:lang w:val="en-ZA"/>
        </w:rPr>
        <w:t xml:space="preserve"> 29.5% of total world exports, </w:t>
      </w:r>
      <w:r w:rsidR="00225DAC" w:rsidRPr="004777AC">
        <w:rPr>
          <w:rFonts w:cs="Arial"/>
          <w:sz w:val="20"/>
          <w:szCs w:val="20"/>
          <w:lang w:val="en-ZA"/>
        </w:rPr>
        <w:t>indicating that exports are relatively</w:t>
      </w:r>
      <w:r w:rsidR="00CE0467" w:rsidRPr="004777AC">
        <w:rPr>
          <w:rFonts w:cs="Arial"/>
          <w:sz w:val="20"/>
          <w:szCs w:val="20"/>
          <w:lang w:val="en-ZA"/>
        </w:rPr>
        <w:t xml:space="preserve"> concentrated.  </w:t>
      </w:r>
    </w:p>
    <w:p w:rsidR="00CE0467" w:rsidRPr="004777AC" w:rsidRDefault="00CE0467" w:rsidP="00CE0467">
      <w:pPr>
        <w:jc w:val="both"/>
        <w:rPr>
          <w:rFonts w:cs="Arial"/>
          <w:sz w:val="20"/>
          <w:szCs w:val="20"/>
          <w:lang w:val="en-ZA"/>
        </w:rPr>
      </w:pPr>
    </w:p>
    <w:p w:rsidR="00CE0467" w:rsidRPr="00CE0467" w:rsidRDefault="00677EA2" w:rsidP="00CE0467">
      <w:pPr>
        <w:jc w:val="both"/>
        <w:rPr>
          <w:rFonts w:cs="Arial"/>
          <w:sz w:val="20"/>
          <w:szCs w:val="20"/>
        </w:rPr>
      </w:pPr>
      <w:r>
        <w:rPr>
          <w:rFonts w:cs="Arial"/>
          <w:sz w:val="20"/>
          <w:szCs w:val="20"/>
        </w:rPr>
        <w:t>Table 3</w:t>
      </w:r>
      <w:r w:rsidR="00CE0467" w:rsidRPr="004777AC">
        <w:rPr>
          <w:rFonts w:cs="Arial"/>
          <w:sz w:val="20"/>
          <w:szCs w:val="20"/>
        </w:rPr>
        <w:t>: Imported</w:t>
      </w:r>
      <w:r w:rsidR="00CE0467" w:rsidRPr="00CE0467">
        <w:rPr>
          <w:rFonts w:cs="Arial"/>
          <w:sz w:val="20"/>
          <w:szCs w:val="20"/>
        </w:rPr>
        <w:t xml:space="preserve"> value of </w:t>
      </w:r>
      <w:r w:rsidR="00CE0467" w:rsidRPr="00CE0467">
        <w:rPr>
          <w:rFonts w:cs="Arial"/>
          <w:bCs/>
          <w:sz w:val="20"/>
          <w:szCs w:val="20"/>
        </w:rPr>
        <w:t>sunflower-seed oil in the world (2009)</w:t>
      </w:r>
    </w:p>
    <w:p w:rsidR="00CE0467" w:rsidRPr="00CE0467" w:rsidRDefault="00CE0467" w:rsidP="00CE0467">
      <w:pPr>
        <w:jc w:val="both"/>
        <w:rPr>
          <w:rFonts w:cs="Arial"/>
          <w:sz w:val="20"/>
          <w:szCs w:val="20"/>
          <w:lang w:val="en-ZA"/>
        </w:rPr>
      </w:pPr>
    </w:p>
    <w:tbl>
      <w:tblPr>
        <w:tblStyle w:val="TableGrid"/>
        <w:tblW w:w="9090" w:type="dxa"/>
        <w:tblInd w:w="108" w:type="dxa"/>
        <w:tblLayout w:type="fixed"/>
        <w:tblLook w:val="04A0"/>
      </w:tblPr>
      <w:tblGrid>
        <w:gridCol w:w="720"/>
        <w:gridCol w:w="1170"/>
        <w:gridCol w:w="1371"/>
        <w:gridCol w:w="1134"/>
        <w:gridCol w:w="735"/>
        <w:gridCol w:w="1350"/>
        <w:gridCol w:w="1530"/>
        <w:gridCol w:w="1080"/>
      </w:tblGrid>
      <w:tr w:rsidR="00CE0467" w:rsidRPr="00CE0467" w:rsidTr="009D4501">
        <w:tc>
          <w:tcPr>
            <w:tcW w:w="720"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Rank</w:t>
            </w:r>
          </w:p>
        </w:tc>
        <w:tc>
          <w:tcPr>
            <w:tcW w:w="1170"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Importers</w:t>
            </w:r>
          </w:p>
        </w:tc>
        <w:tc>
          <w:tcPr>
            <w:tcW w:w="1371" w:type="dxa"/>
            <w:vAlign w:val="center"/>
          </w:tcPr>
          <w:p w:rsidR="00CE0467" w:rsidRPr="009D4501" w:rsidRDefault="00CE0467" w:rsidP="009D4501">
            <w:pPr>
              <w:tabs>
                <w:tab w:val="left" w:pos="1331"/>
              </w:tabs>
              <w:jc w:val="center"/>
              <w:rPr>
                <w:rFonts w:cs="Arial"/>
                <w:b/>
                <w:bCs/>
                <w:sz w:val="18"/>
                <w:szCs w:val="18"/>
              </w:rPr>
            </w:pPr>
            <w:r w:rsidRPr="009D4501">
              <w:rPr>
                <w:rFonts w:cs="Arial"/>
                <w:b/>
                <w:bCs/>
                <w:sz w:val="18"/>
                <w:szCs w:val="18"/>
              </w:rPr>
              <w:t>Value of imports, USD million</w:t>
            </w:r>
          </w:p>
        </w:tc>
        <w:tc>
          <w:tcPr>
            <w:tcW w:w="1134"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Share in World Imports, %</w:t>
            </w:r>
          </w:p>
        </w:tc>
        <w:tc>
          <w:tcPr>
            <w:tcW w:w="735"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Rank</w:t>
            </w:r>
          </w:p>
        </w:tc>
        <w:tc>
          <w:tcPr>
            <w:tcW w:w="1350"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Exporters</w:t>
            </w:r>
          </w:p>
        </w:tc>
        <w:tc>
          <w:tcPr>
            <w:tcW w:w="1530" w:type="dxa"/>
            <w:vAlign w:val="center"/>
          </w:tcPr>
          <w:p w:rsidR="00CE0467" w:rsidRPr="009D4501" w:rsidRDefault="00CE0467" w:rsidP="009D4501">
            <w:pPr>
              <w:tabs>
                <w:tab w:val="left" w:pos="1331"/>
              </w:tabs>
              <w:jc w:val="center"/>
              <w:rPr>
                <w:rFonts w:cs="Arial"/>
                <w:b/>
                <w:bCs/>
                <w:sz w:val="18"/>
                <w:szCs w:val="18"/>
              </w:rPr>
            </w:pPr>
            <w:r w:rsidRPr="009D4501">
              <w:rPr>
                <w:rFonts w:cs="Arial"/>
                <w:b/>
                <w:bCs/>
                <w:sz w:val="18"/>
                <w:szCs w:val="18"/>
              </w:rPr>
              <w:t>Value of exports, USD million</w:t>
            </w:r>
          </w:p>
        </w:tc>
        <w:tc>
          <w:tcPr>
            <w:tcW w:w="1080" w:type="dxa"/>
            <w:vAlign w:val="center"/>
          </w:tcPr>
          <w:p w:rsidR="00CE0467" w:rsidRPr="009D4501" w:rsidRDefault="00CE0467" w:rsidP="009D4501">
            <w:pPr>
              <w:tabs>
                <w:tab w:val="left" w:pos="1331"/>
              </w:tabs>
              <w:jc w:val="center"/>
              <w:rPr>
                <w:rFonts w:cs="Arial"/>
                <w:sz w:val="18"/>
                <w:szCs w:val="18"/>
              </w:rPr>
            </w:pPr>
            <w:r w:rsidRPr="009D4501">
              <w:rPr>
                <w:rFonts w:cs="Arial"/>
                <w:b/>
                <w:bCs/>
                <w:sz w:val="18"/>
                <w:szCs w:val="18"/>
              </w:rPr>
              <w:t>Share in World Imports, %</w:t>
            </w:r>
          </w:p>
        </w:tc>
      </w:tr>
      <w:tr w:rsidR="00CE0467" w:rsidRPr="00CE0467" w:rsidTr="009D4501">
        <w:trPr>
          <w:trHeight w:val="144"/>
        </w:trPr>
        <w:tc>
          <w:tcPr>
            <w:tcW w:w="720"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1.</w:t>
            </w:r>
          </w:p>
        </w:tc>
        <w:tc>
          <w:tcPr>
            <w:tcW w:w="117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UK</w:t>
            </w:r>
          </w:p>
        </w:tc>
        <w:tc>
          <w:tcPr>
            <w:tcW w:w="1371"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210.2</w:t>
            </w:r>
          </w:p>
        </w:tc>
        <w:tc>
          <w:tcPr>
            <w:tcW w:w="1134"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10.1</w:t>
            </w:r>
          </w:p>
        </w:tc>
        <w:tc>
          <w:tcPr>
            <w:tcW w:w="735"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1.</w:t>
            </w:r>
          </w:p>
        </w:tc>
        <w:tc>
          <w:tcPr>
            <w:tcW w:w="135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France</w:t>
            </w:r>
          </w:p>
        </w:tc>
        <w:tc>
          <w:tcPr>
            <w:tcW w:w="1530"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237.5</w:t>
            </w:r>
          </w:p>
        </w:tc>
        <w:tc>
          <w:tcPr>
            <w:tcW w:w="108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11.3</w:t>
            </w:r>
          </w:p>
        </w:tc>
      </w:tr>
      <w:tr w:rsidR="00CE0467" w:rsidRPr="00CE0467" w:rsidTr="009D4501">
        <w:trPr>
          <w:trHeight w:val="144"/>
        </w:trPr>
        <w:tc>
          <w:tcPr>
            <w:tcW w:w="72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2</w:t>
            </w:r>
            <w:r w:rsidR="00CE60C0" w:rsidRPr="009D4501">
              <w:rPr>
                <w:rFonts w:cs="Arial"/>
                <w:sz w:val="18"/>
                <w:szCs w:val="18"/>
              </w:rPr>
              <w:t>.</w:t>
            </w:r>
          </w:p>
        </w:tc>
        <w:tc>
          <w:tcPr>
            <w:tcW w:w="117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Belgium</w:t>
            </w:r>
          </w:p>
        </w:tc>
        <w:tc>
          <w:tcPr>
            <w:tcW w:w="1371"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149.2</w:t>
            </w:r>
          </w:p>
        </w:tc>
        <w:tc>
          <w:tcPr>
            <w:tcW w:w="1134"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7.2</w:t>
            </w:r>
          </w:p>
        </w:tc>
        <w:tc>
          <w:tcPr>
            <w:tcW w:w="735"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2</w:t>
            </w:r>
            <w:r w:rsidR="00CE60C0" w:rsidRPr="009D4501">
              <w:rPr>
                <w:rFonts w:cs="Arial"/>
                <w:sz w:val="18"/>
                <w:szCs w:val="18"/>
              </w:rPr>
              <w:t>.</w:t>
            </w:r>
          </w:p>
        </w:tc>
        <w:tc>
          <w:tcPr>
            <w:tcW w:w="135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Hungary</w:t>
            </w:r>
          </w:p>
        </w:tc>
        <w:tc>
          <w:tcPr>
            <w:tcW w:w="1530"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200.6</w:t>
            </w:r>
          </w:p>
        </w:tc>
        <w:tc>
          <w:tcPr>
            <w:tcW w:w="108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9.6</w:t>
            </w:r>
          </w:p>
        </w:tc>
      </w:tr>
      <w:tr w:rsidR="00CE0467" w:rsidRPr="00CE0467" w:rsidTr="009D4501">
        <w:trPr>
          <w:trHeight w:val="144"/>
        </w:trPr>
        <w:tc>
          <w:tcPr>
            <w:tcW w:w="72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3</w:t>
            </w:r>
            <w:r w:rsidR="00CE60C0" w:rsidRPr="009D4501">
              <w:rPr>
                <w:rFonts w:cs="Arial"/>
                <w:sz w:val="18"/>
                <w:szCs w:val="18"/>
              </w:rPr>
              <w:t>.</w:t>
            </w:r>
          </w:p>
        </w:tc>
        <w:tc>
          <w:tcPr>
            <w:tcW w:w="117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Germany</w:t>
            </w:r>
          </w:p>
        </w:tc>
        <w:tc>
          <w:tcPr>
            <w:tcW w:w="1371"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105.5</w:t>
            </w:r>
          </w:p>
        </w:tc>
        <w:tc>
          <w:tcPr>
            <w:tcW w:w="1134"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5.1</w:t>
            </w:r>
          </w:p>
        </w:tc>
        <w:tc>
          <w:tcPr>
            <w:tcW w:w="735"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3</w:t>
            </w:r>
            <w:r w:rsidR="00CE60C0" w:rsidRPr="009D4501">
              <w:rPr>
                <w:rFonts w:cs="Arial"/>
                <w:sz w:val="18"/>
                <w:szCs w:val="18"/>
              </w:rPr>
              <w:t>.</w:t>
            </w:r>
          </w:p>
        </w:tc>
        <w:tc>
          <w:tcPr>
            <w:tcW w:w="1350"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Netherlands</w:t>
            </w:r>
          </w:p>
        </w:tc>
        <w:tc>
          <w:tcPr>
            <w:tcW w:w="1530" w:type="dxa"/>
            <w:vAlign w:val="center"/>
          </w:tcPr>
          <w:p w:rsidR="00CE0467" w:rsidRPr="009D4501" w:rsidRDefault="00CE60C0" w:rsidP="009D4501">
            <w:pPr>
              <w:tabs>
                <w:tab w:val="left" w:pos="1331"/>
              </w:tabs>
              <w:spacing w:line="276" w:lineRule="auto"/>
              <w:jc w:val="center"/>
              <w:rPr>
                <w:rFonts w:cs="Arial"/>
                <w:sz w:val="18"/>
                <w:szCs w:val="18"/>
              </w:rPr>
            </w:pPr>
            <w:r w:rsidRPr="009D4501">
              <w:rPr>
                <w:rFonts w:cs="Arial"/>
                <w:sz w:val="18"/>
                <w:szCs w:val="18"/>
              </w:rPr>
              <w:t>181.2</w:t>
            </w:r>
          </w:p>
        </w:tc>
        <w:tc>
          <w:tcPr>
            <w:tcW w:w="1080" w:type="dxa"/>
            <w:vAlign w:val="center"/>
          </w:tcPr>
          <w:p w:rsidR="00CE0467" w:rsidRPr="009D4501" w:rsidRDefault="00CE0467" w:rsidP="009D4501">
            <w:pPr>
              <w:tabs>
                <w:tab w:val="left" w:pos="1331"/>
              </w:tabs>
              <w:spacing w:line="276" w:lineRule="auto"/>
              <w:jc w:val="center"/>
              <w:rPr>
                <w:rFonts w:cs="Arial"/>
                <w:sz w:val="18"/>
                <w:szCs w:val="18"/>
              </w:rPr>
            </w:pPr>
            <w:r w:rsidRPr="009D4501">
              <w:rPr>
                <w:rFonts w:cs="Arial"/>
                <w:sz w:val="18"/>
                <w:szCs w:val="18"/>
              </w:rPr>
              <w:t>8.6</w:t>
            </w:r>
          </w:p>
        </w:tc>
      </w:tr>
    </w:tbl>
    <w:p w:rsidR="00225DAC" w:rsidRPr="004777AC" w:rsidRDefault="00225DAC" w:rsidP="00225DAC">
      <w:pPr>
        <w:jc w:val="both"/>
        <w:rPr>
          <w:rFonts w:cs="Arial"/>
          <w:iCs/>
          <w:sz w:val="20"/>
          <w:szCs w:val="20"/>
        </w:rPr>
      </w:pPr>
      <w:r w:rsidRPr="004777AC">
        <w:rPr>
          <w:rFonts w:cs="Arial"/>
          <w:iCs/>
          <w:sz w:val="20"/>
          <w:szCs w:val="20"/>
        </w:rPr>
        <w:t>Source: ITC TradeMap, 2011.</w:t>
      </w:r>
    </w:p>
    <w:p w:rsidR="002E0027" w:rsidRDefault="002E0027">
      <w:pPr>
        <w:rPr>
          <w:rFonts w:cs="Arial"/>
          <w:color w:val="4F81BD" w:themeColor="accent1"/>
          <w:sz w:val="20"/>
          <w:szCs w:val="20"/>
        </w:rPr>
      </w:pPr>
      <w:r>
        <w:rPr>
          <w:rFonts w:cs="Arial"/>
          <w:color w:val="4F81BD" w:themeColor="accent1"/>
          <w:sz w:val="20"/>
          <w:szCs w:val="20"/>
        </w:rPr>
        <w:br w:type="page"/>
      </w:r>
    </w:p>
    <w:p w:rsidR="006C3289" w:rsidRPr="000D562F" w:rsidRDefault="006C3289" w:rsidP="00225DAC">
      <w:pPr>
        <w:tabs>
          <w:tab w:val="num" w:pos="2160"/>
        </w:tabs>
        <w:jc w:val="both"/>
        <w:rPr>
          <w:rFonts w:cs="Arial"/>
          <w:color w:val="4F81BD" w:themeColor="accent1"/>
          <w:sz w:val="20"/>
          <w:szCs w:val="20"/>
        </w:rPr>
      </w:pPr>
    </w:p>
    <w:p w:rsidR="0083605D" w:rsidRPr="000D562F" w:rsidRDefault="005159BD" w:rsidP="004422E1">
      <w:pPr>
        <w:pStyle w:val="Heading2"/>
        <w:rPr>
          <w:i w:val="0"/>
          <w:sz w:val="20"/>
          <w:szCs w:val="20"/>
          <w:u w:val="single"/>
        </w:rPr>
      </w:pPr>
      <w:bookmarkStart w:id="13" w:name="_Toc290627296"/>
      <w:r w:rsidRPr="000D562F">
        <w:rPr>
          <w:i w:val="0"/>
          <w:sz w:val="20"/>
          <w:szCs w:val="20"/>
          <w:u w:val="single"/>
        </w:rPr>
        <w:t>Potential Markets: m</w:t>
      </w:r>
      <w:r w:rsidR="0083605D" w:rsidRPr="000D562F">
        <w:rPr>
          <w:i w:val="0"/>
          <w:sz w:val="20"/>
          <w:szCs w:val="20"/>
          <w:u w:val="single"/>
        </w:rPr>
        <w:t xml:space="preserve">arket </w:t>
      </w:r>
      <w:r w:rsidRPr="000D562F">
        <w:rPr>
          <w:i w:val="0"/>
          <w:sz w:val="20"/>
          <w:szCs w:val="20"/>
          <w:u w:val="single"/>
        </w:rPr>
        <w:t>s</w:t>
      </w:r>
      <w:r w:rsidR="0083605D" w:rsidRPr="000D562F">
        <w:rPr>
          <w:i w:val="0"/>
          <w:sz w:val="20"/>
          <w:szCs w:val="20"/>
          <w:u w:val="single"/>
        </w:rPr>
        <w:t>creening</w:t>
      </w:r>
      <w:bookmarkEnd w:id="13"/>
    </w:p>
    <w:p w:rsidR="0068545C" w:rsidRDefault="0068545C" w:rsidP="00E37369">
      <w:pPr>
        <w:ind w:firstLine="720"/>
        <w:jc w:val="both"/>
        <w:rPr>
          <w:rFonts w:cs="Arial"/>
          <w:iCs/>
          <w:color w:val="4F81BD" w:themeColor="accent1"/>
          <w:sz w:val="20"/>
          <w:szCs w:val="20"/>
        </w:rPr>
      </w:pPr>
    </w:p>
    <w:p w:rsidR="0068545C" w:rsidRPr="00225DAC" w:rsidRDefault="00225DAC" w:rsidP="00225DAC">
      <w:pPr>
        <w:jc w:val="both"/>
        <w:rPr>
          <w:rFonts w:cs="Arial"/>
          <w:iCs/>
          <w:sz w:val="20"/>
          <w:szCs w:val="20"/>
        </w:rPr>
      </w:pPr>
      <w:r w:rsidRPr="00225DAC">
        <w:rPr>
          <w:rFonts w:cs="Arial"/>
          <w:iCs/>
          <w:sz w:val="20"/>
          <w:szCs w:val="20"/>
        </w:rPr>
        <w:t xml:space="preserve">Table </w:t>
      </w:r>
      <w:r w:rsidR="00677EA2">
        <w:rPr>
          <w:rFonts w:cs="Arial"/>
          <w:iCs/>
          <w:sz w:val="20"/>
          <w:szCs w:val="20"/>
        </w:rPr>
        <w:t>4</w:t>
      </w:r>
      <w:r w:rsidRPr="00225DAC">
        <w:rPr>
          <w:rFonts w:cs="Arial"/>
          <w:iCs/>
          <w:sz w:val="20"/>
          <w:szCs w:val="20"/>
        </w:rPr>
        <w:t>: Potential markets for South African sunflower oil</w:t>
      </w:r>
    </w:p>
    <w:tbl>
      <w:tblPr>
        <w:tblW w:w="9015" w:type="dxa"/>
        <w:tblCellMar>
          <w:left w:w="0" w:type="dxa"/>
          <w:right w:w="0" w:type="dxa"/>
        </w:tblCellMar>
        <w:tblLook w:val="04A0"/>
      </w:tblPr>
      <w:tblGrid>
        <w:gridCol w:w="1277"/>
        <w:gridCol w:w="1078"/>
        <w:gridCol w:w="1710"/>
        <w:gridCol w:w="1440"/>
        <w:gridCol w:w="1440"/>
        <w:gridCol w:w="990"/>
        <w:gridCol w:w="1080"/>
      </w:tblGrid>
      <w:tr w:rsidR="004A72F5" w:rsidRPr="009D4501" w:rsidTr="009D4501">
        <w:trPr>
          <w:trHeight w:val="536"/>
        </w:trPr>
        <w:tc>
          <w:tcPr>
            <w:tcW w:w="0" w:type="auto"/>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Top potential Import Markets</w:t>
            </w:r>
          </w:p>
        </w:tc>
        <w:tc>
          <w:tcPr>
            <w:tcW w:w="1078"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Share of market in world imports</w:t>
            </w:r>
          </w:p>
        </w:tc>
        <w:tc>
          <w:tcPr>
            <w:tcW w:w="171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 xml:space="preserve">Import </w:t>
            </w:r>
            <w:r w:rsidR="00B036C3" w:rsidRPr="009D4501">
              <w:rPr>
                <w:rFonts w:cs="Arial"/>
                <w:b/>
                <w:iCs/>
                <w:sz w:val="18"/>
                <w:szCs w:val="18"/>
                <w:lang w:val="en-ZA"/>
              </w:rPr>
              <w:t xml:space="preserve">quantity </w:t>
            </w:r>
            <w:r w:rsidRPr="009D4501">
              <w:rPr>
                <w:rFonts w:cs="Arial"/>
                <w:b/>
                <w:iCs/>
                <w:sz w:val="18"/>
                <w:szCs w:val="18"/>
                <w:lang w:val="en-ZA"/>
              </w:rPr>
              <w:t>growth from the world</w:t>
            </w:r>
            <w:r w:rsidR="00B036C3" w:rsidRPr="009D4501">
              <w:rPr>
                <w:rFonts w:cs="Arial"/>
                <w:b/>
                <w:iCs/>
                <w:sz w:val="18"/>
                <w:szCs w:val="18"/>
                <w:lang w:val="en-ZA"/>
              </w:rPr>
              <w:t xml:space="preserve"> (2005-2009)</w:t>
            </w:r>
          </w:p>
        </w:tc>
        <w:tc>
          <w:tcPr>
            <w:tcW w:w="144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3E5317">
            <w:pPr>
              <w:jc w:val="center"/>
              <w:rPr>
                <w:rFonts w:cs="Arial"/>
                <w:b/>
                <w:iCs/>
                <w:sz w:val="18"/>
                <w:szCs w:val="18"/>
                <w:lang w:val="en-ZA"/>
              </w:rPr>
            </w:pPr>
            <w:r w:rsidRPr="009D4501">
              <w:rPr>
                <w:rFonts w:cs="Arial"/>
                <w:b/>
                <w:iCs/>
                <w:sz w:val="18"/>
                <w:szCs w:val="18"/>
                <w:lang w:val="en-ZA"/>
              </w:rPr>
              <w:t>Tariff applied to South Africa</w:t>
            </w:r>
            <w:r w:rsidR="003E5317" w:rsidRPr="009D4501">
              <w:rPr>
                <w:rFonts w:cs="Arial"/>
                <w:b/>
                <w:iCs/>
                <w:sz w:val="18"/>
                <w:szCs w:val="18"/>
                <w:lang w:val="en-ZA"/>
              </w:rPr>
              <w:t>n sunflower oil</w:t>
            </w: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Competition</w:t>
            </w:r>
          </w:p>
        </w:tc>
      </w:tr>
      <w:tr w:rsidR="004A72F5" w:rsidRPr="009D4501" w:rsidTr="009D4501">
        <w:trPr>
          <w:trHeight w:val="376"/>
        </w:trPr>
        <w:tc>
          <w:tcPr>
            <w:tcW w:w="0" w:type="auto"/>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003904">
            <w:pPr>
              <w:jc w:val="both"/>
              <w:rPr>
                <w:rFonts w:cs="Arial"/>
                <w:b/>
                <w:iCs/>
                <w:sz w:val="18"/>
                <w:szCs w:val="18"/>
                <w:lang w:val="en-ZA"/>
              </w:rPr>
            </w:pPr>
          </w:p>
        </w:tc>
        <w:tc>
          <w:tcPr>
            <w:tcW w:w="107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p>
        </w:tc>
        <w:tc>
          <w:tcPr>
            <w:tcW w:w="171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p>
        </w:tc>
        <w:tc>
          <w:tcPr>
            <w:tcW w:w="144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A72F5" w:rsidRPr="009D4501" w:rsidRDefault="004A72F5" w:rsidP="004A72F5">
            <w:pPr>
              <w:jc w:val="center"/>
              <w:rPr>
                <w:rFonts w:cs="Arial"/>
                <w:b/>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Competitor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Market share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4A72F5" w:rsidRPr="009D4501" w:rsidRDefault="004A72F5" w:rsidP="004A72F5">
            <w:pPr>
              <w:jc w:val="center"/>
              <w:rPr>
                <w:rFonts w:cs="Arial"/>
                <w:b/>
                <w:iCs/>
                <w:sz w:val="18"/>
                <w:szCs w:val="18"/>
                <w:lang w:val="en-ZA"/>
              </w:rPr>
            </w:pPr>
            <w:r w:rsidRPr="009D4501">
              <w:rPr>
                <w:rFonts w:cs="Arial"/>
                <w:b/>
                <w:iCs/>
                <w:sz w:val="18"/>
                <w:szCs w:val="18"/>
                <w:lang w:val="en-ZA"/>
              </w:rPr>
              <w:t>Tariff faced</w:t>
            </w:r>
          </w:p>
        </w:tc>
      </w:tr>
      <w:tr w:rsidR="0068545C" w:rsidRPr="009D4501" w:rsidTr="009D4501">
        <w:trPr>
          <w:trHeight w:val="20"/>
        </w:trPr>
        <w:tc>
          <w:tcPr>
            <w:tcW w:w="0" w:type="auto"/>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003904" w:rsidRPr="009D4501" w:rsidRDefault="00003904" w:rsidP="0068545C">
            <w:pPr>
              <w:jc w:val="center"/>
              <w:rPr>
                <w:rFonts w:cs="Arial"/>
                <w:iCs/>
                <w:sz w:val="18"/>
                <w:szCs w:val="18"/>
                <w:lang w:val="en-ZA"/>
              </w:rPr>
            </w:pPr>
            <w:r w:rsidRPr="009D4501">
              <w:rPr>
                <w:rFonts w:cs="Arial"/>
                <w:iCs/>
                <w:sz w:val="18"/>
                <w:szCs w:val="18"/>
                <w:lang w:val="en-ZA"/>
              </w:rPr>
              <w:t>1. Romania</w:t>
            </w:r>
          </w:p>
        </w:tc>
        <w:tc>
          <w:tcPr>
            <w:tcW w:w="1078"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003904" w:rsidRPr="009D4501" w:rsidRDefault="00003904" w:rsidP="00003904">
            <w:pPr>
              <w:jc w:val="center"/>
              <w:rPr>
                <w:rFonts w:cs="Arial"/>
                <w:iCs/>
                <w:sz w:val="18"/>
                <w:szCs w:val="18"/>
                <w:lang w:val="en-ZA"/>
              </w:rPr>
            </w:pPr>
            <w:r w:rsidRPr="009D4501">
              <w:rPr>
                <w:rFonts w:cs="Arial"/>
                <w:iCs/>
                <w:sz w:val="18"/>
                <w:szCs w:val="18"/>
                <w:lang w:val="en-ZA"/>
              </w:rPr>
              <w:t>3.8</w:t>
            </w:r>
            <w:r w:rsidR="0068545C" w:rsidRPr="009D4501">
              <w:rPr>
                <w:rFonts w:cs="Arial"/>
                <w:iCs/>
                <w:sz w:val="18"/>
                <w:szCs w:val="18"/>
                <w:lang w:val="en-ZA"/>
              </w:rPr>
              <w:t>%</w:t>
            </w:r>
          </w:p>
        </w:tc>
        <w:tc>
          <w:tcPr>
            <w:tcW w:w="171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003904" w:rsidRPr="009D4501" w:rsidRDefault="00B036C3" w:rsidP="00003904">
            <w:pPr>
              <w:jc w:val="center"/>
              <w:rPr>
                <w:rFonts w:cs="Arial"/>
                <w:iCs/>
                <w:sz w:val="18"/>
                <w:szCs w:val="18"/>
                <w:lang w:val="en-ZA"/>
              </w:rPr>
            </w:pPr>
            <w:r w:rsidRPr="009D4501">
              <w:rPr>
                <w:rFonts w:cs="Arial"/>
                <w:iCs/>
                <w:sz w:val="18"/>
                <w:szCs w:val="18"/>
                <w:lang w:val="en-ZA"/>
              </w:rPr>
              <w:t>147</w:t>
            </w:r>
            <w:r w:rsidR="0068545C" w:rsidRPr="009D4501">
              <w:rPr>
                <w:rFonts w:cs="Arial"/>
                <w:iCs/>
                <w:sz w:val="18"/>
                <w:szCs w:val="18"/>
                <w:lang w:val="en-ZA"/>
              </w:rPr>
              <w:t>%</w:t>
            </w:r>
          </w:p>
        </w:tc>
        <w:tc>
          <w:tcPr>
            <w:tcW w:w="144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003904" w:rsidRPr="009D4501" w:rsidRDefault="00003904" w:rsidP="00003904">
            <w:pPr>
              <w:jc w:val="center"/>
              <w:rPr>
                <w:rFonts w:cs="Arial"/>
                <w:iCs/>
                <w:sz w:val="18"/>
                <w:szCs w:val="18"/>
                <w:lang w:val="en-ZA"/>
              </w:rPr>
            </w:pPr>
            <w:r w:rsidRPr="009D4501">
              <w:rPr>
                <w:rFonts w:cs="Arial"/>
                <w:iCs/>
                <w:sz w:val="18"/>
                <w:szCs w:val="18"/>
                <w:lang w:val="en-ZA"/>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003904">
            <w:pPr>
              <w:jc w:val="both"/>
              <w:rPr>
                <w:rFonts w:cs="Arial"/>
                <w:iCs/>
                <w:sz w:val="18"/>
                <w:szCs w:val="18"/>
                <w:lang w:val="en-ZA"/>
              </w:rPr>
            </w:pPr>
            <w:r w:rsidRPr="009D4501">
              <w:rPr>
                <w:rFonts w:cs="Arial"/>
                <w:iCs/>
                <w:sz w:val="18"/>
                <w:szCs w:val="18"/>
                <w:lang w:val="en-ZA"/>
              </w:rPr>
              <w:t>1.</w:t>
            </w:r>
            <w:r w:rsidR="00003904" w:rsidRPr="009D4501">
              <w:rPr>
                <w:rFonts w:cs="Arial"/>
                <w:iCs/>
                <w:sz w:val="18"/>
                <w:szCs w:val="18"/>
                <w:lang w:val="en-ZA"/>
              </w:rPr>
              <w:t>Hungary</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4A72F5">
            <w:pPr>
              <w:jc w:val="center"/>
              <w:rPr>
                <w:rFonts w:cs="Arial"/>
                <w:iCs/>
                <w:sz w:val="18"/>
                <w:szCs w:val="18"/>
                <w:lang w:val="en-ZA"/>
              </w:rPr>
            </w:pPr>
            <w:r w:rsidRPr="009D4501">
              <w:rPr>
                <w:rFonts w:cs="Arial"/>
                <w:iCs/>
                <w:sz w:val="18"/>
                <w:szCs w:val="18"/>
                <w:lang w:val="en-ZA"/>
              </w:rPr>
              <w:t>76.3%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003904">
            <w:pPr>
              <w:jc w:val="both"/>
              <w:rPr>
                <w:rFonts w:cs="Arial"/>
                <w:iCs/>
                <w:sz w:val="18"/>
                <w:szCs w:val="18"/>
                <w:lang w:val="en-ZA"/>
              </w:rPr>
            </w:pPr>
            <w:r w:rsidRPr="009D4501">
              <w:rPr>
                <w:rFonts w:cs="Arial"/>
                <w:iCs/>
                <w:sz w:val="18"/>
                <w:szCs w:val="18"/>
                <w:lang w:val="en-ZA"/>
              </w:rPr>
              <w:t>2.</w:t>
            </w:r>
            <w:r w:rsidR="00003904" w:rsidRPr="009D4501">
              <w:rPr>
                <w:rFonts w:cs="Arial"/>
                <w:iCs/>
                <w:sz w:val="18"/>
                <w:szCs w:val="18"/>
                <w:lang w:val="en-ZA"/>
              </w:rPr>
              <w:t>Bulgaria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4A72F5">
            <w:pPr>
              <w:jc w:val="center"/>
              <w:rPr>
                <w:rFonts w:cs="Arial"/>
                <w:iCs/>
                <w:sz w:val="18"/>
                <w:szCs w:val="18"/>
                <w:lang w:val="en-ZA"/>
              </w:rPr>
            </w:pPr>
            <w:r w:rsidRPr="009D4501">
              <w:rPr>
                <w:rFonts w:cs="Arial"/>
                <w:iCs/>
                <w:sz w:val="18"/>
                <w:szCs w:val="18"/>
                <w:lang w:val="en-ZA"/>
              </w:rPr>
              <w:t>12.1%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003904">
            <w:pPr>
              <w:jc w:val="both"/>
              <w:rPr>
                <w:rFonts w:cs="Arial"/>
                <w:iCs/>
                <w:sz w:val="18"/>
                <w:szCs w:val="18"/>
                <w:lang w:val="en-ZA"/>
              </w:rPr>
            </w:pPr>
            <w:r w:rsidRPr="009D4501">
              <w:rPr>
                <w:rFonts w:cs="Arial"/>
                <w:iCs/>
                <w:sz w:val="18"/>
                <w:szCs w:val="18"/>
                <w:lang w:val="en-ZA"/>
              </w:rPr>
              <w:t>3.</w:t>
            </w:r>
            <w:r w:rsidR="00003904" w:rsidRPr="009D4501">
              <w:rPr>
                <w:rFonts w:cs="Arial"/>
                <w:iCs/>
                <w:sz w:val="18"/>
                <w:szCs w:val="18"/>
                <w:lang w:val="en-ZA"/>
              </w:rPr>
              <w:t>Moldova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10.9%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07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71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68545C" w:rsidP="00003904">
            <w:pPr>
              <w:jc w:val="both"/>
              <w:rPr>
                <w:rFonts w:cs="Arial"/>
                <w:iCs/>
                <w:sz w:val="18"/>
                <w:szCs w:val="18"/>
                <w:lang w:val="en-ZA"/>
              </w:rPr>
            </w:pPr>
            <w:r w:rsidRPr="009D4501">
              <w:rPr>
                <w:rFonts w:cs="Arial"/>
                <w:iCs/>
                <w:sz w:val="18"/>
                <w:szCs w:val="18"/>
                <w:lang w:val="en-ZA"/>
              </w:rPr>
              <w:t>4.</w:t>
            </w:r>
            <w:r w:rsidR="00003904" w:rsidRPr="009D4501">
              <w:rPr>
                <w:rFonts w:cs="Arial"/>
                <w:iCs/>
                <w:sz w:val="18"/>
                <w:szCs w:val="18"/>
                <w:lang w:val="en-ZA"/>
              </w:rPr>
              <w:t>United States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003904" w:rsidRPr="009D4501" w:rsidRDefault="00003904" w:rsidP="004A72F5">
            <w:pPr>
              <w:jc w:val="center"/>
              <w:rPr>
                <w:rFonts w:cs="Arial"/>
                <w:iCs/>
                <w:sz w:val="18"/>
                <w:szCs w:val="18"/>
                <w:lang w:val="en-ZA"/>
              </w:rPr>
            </w:pPr>
            <w:r w:rsidRPr="009D4501">
              <w:rPr>
                <w:rFonts w:cs="Arial"/>
                <w:iCs/>
                <w:sz w:val="18"/>
                <w:szCs w:val="18"/>
                <w:lang w:val="en-ZA"/>
              </w:rPr>
              <w:t>8.1%</w:t>
            </w:r>
          </w:p>
        </w:tc>
      </w:tr>
      <w:tr w:rsidR="0068545C" w:rsidRPr="009D4501" w:rsidTr="009D4501">
        <w:trPr>
          <w:trHeight w:val="20"/>
        </w:trPr>
        <w:tc>
          <w:tcPr>
            <w:tcW w:w="0" w:type="auto"/>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 xml:space="preserve">2. U.K </w:t>
            </w:r>
          </w:p>
        </w:tc>
        <w:tc>
          <w:tcPr>
            <w:tcW w:w="1078"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10.1%</w:t>
            </w:r>
          </w:p>
        </w:tc>
        <w:tc>
          <w:tcPr>
            <w:tcW w:w="171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B036C3" w:rsidP="0068545C">
            <w:pPr>
              <w:jc w:val="center"/>
              <w:rPr>
                <w:rFonts w:cs="Arial"/>
                <w:iCs/>
                <w:sz w:val="18"/>
                <w:szCs w:val="18"/>
                <w:lang w:val="en-ZA"/>
              </w:rPr>
            </w:pPr>
            <w:r w:rsidRPr="009D4501">
              <w:rPr>
                <w:rFonts w:cs="Arial"/>
                <w:iCs/>
                <w:sz w:val="18"/>
                <w:szCs w:val="18"/>
                <w:lang w:val="en-ZA"/>
              </w:rPr>
              <w:t>19%</w:t>
            </w:r>
          </w:p>
        </w:tc>
        <w:tc>
          <w:tcPr>
            <w:tcW w:w="144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68545C">
            <w:pPr>
              <w:jc w:val="both"/>
              <w:rPr>
                <w:rFonts w:cs="Arial"/>
                <w:iCs/>
                <w:sz w:val="18"/>
                <w:szCs w:val="18"/>
                <w:lang w:val="en-ZA"/>
              </w:rPr>
            </w:pPr>
            <w:r w:rsidRPr="009D4501">
              <w:rPr>
                <w:rFonts w:cs="Arial"/>
                <w:iCs/>
                <w:sz w:val="18"/>
                <w:szCs w:val="18"/>
                <w:lang w:val="en-ZA"/>
              </w:rPr>
              <w:t xml:space="preserve">1.France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54.1%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2.Netherlands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21.3%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3.Belgium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9.2%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07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71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bCs/>
                <w:iCs/>
                <w:sz w:val="18"/>
                <w:szCs w:val="18"/>
                <w:lang w:val="en-ZA"/>
              </w:rPr>
              <w:t>4.Argentina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bCs/>
                <w:iCs/>
                <w:sz w:val="18"/>
                <w:szCs w:val="18"/>
                <w:lang w:val="en-ZA"/>
              </w:rPr>
              <w:t>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bCs/>
                <w:iCs/>
                <w:sz w:val="18"/>
                <w:szCs w:val="18"/>
                <w:lang w:val="en-ZA"/>
              </w:rPr>
              <w:t>6.1%</w:t>
            </w:r>
          </w:p>
        </w:tc>
      </w:tr>
      <w:tr w:rsidR="0068545C" w:rsidRPr="009D4501" w:rsidTr="009D4501">
        <w:trPr>
          <w:trHeight w:val="20"/>
        </w:trPr>
        <w:tc>
          <w:tcPr>
            <w:tcW w:w="0" w:type="auto"/>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 xml:space="preserve">3. Belgium </w:t>
            </w:r>
          </w:p>
        </w:tc>
        <w:tc>
          <w:tcPr>
            <w:tcW w:w="1078"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7.2%</w:t>
            </w:r>
          </w:p>
        </w:tc>
        <w:tc>
          <w:tcPr>
            <w:tcW w:w="171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B036C3" w:rsidP="0068545C">
            <w:pPr>
              <w:jc w:val="center"/>
              <w:rPr>
                <w:rFonts w:cs="Arial"/>
                <w:iCs/>
                <w:sz w:val="18"/>
                <w:szCs w:val="18"/>
                <w:lang w:val="en-ZA"/>
              </w:rPr>
            </w:pPr>
            <w:r w:rsidRPr="009D4501">
              <w:rPr>
                <w:rFonts w:cs="Arial"/>
                <w:iCs/>
                <w:sz w:val="18"/>
                <w:szCs w:val="18"/>
                <w:lang w:val="en-ZA"/>
              </w:rPr>
              <w:t>1</w:t>
            </w:r>
            <w:r w:rsidR="006D232F" w:rsidRPr="009D4501">
              <w:rPr>
                <w:rFonts w:cs="Arial"/>
                <w:iCs/>
                <w:sz w:val="18"/>
                <w:szCs w:val="18"/>
                <w:lang w:val="en-ZA"/>
              </w:rPr>
              <w:t>%</w:t>
            </w:r>
          </w:p>
        </w:tc>
        <w:tc>
          <w:tcPr>
            <w:tcW w:w="144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68545C" w:rsidRPr="009D4501" w:rsidRDefault="0068545C" w:rsidP="0068545C">
            <w:pPr>
              <w:jc w:val="center"/>
              <w:rPr>
                <w:rFonts w:cs="Arial"/>
                <w:iCs/>
                <w:sz w:val="18"/>
                <w:szCs w:val="18"/>
                <w:lang w:val="en-ZA"/>
              </w:rPr>
            </w:pPr>
            <w:r w:rsidRPr="009D4501">
              <w:rPr>
                <w:rFonts w:cs="Arial"/>
                <w:iCs/>
                <w:sz w:val="18"/>
                <w:szCs w:val="18"/>
                <w:lang w:val="en-ZA"/>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 xml:space="preserve">1.Netherlands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75.6%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2.France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14.5%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078"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71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vMerge/>
            <w:tcBorders>
              <w:left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3.Germany</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r w:rsidR="0068545C" w:rsidRPr="009D4501" w:rsidTr="009D4501">
        <w:trPr>
          <w:trHeight w:val="20"/>
        </w:trPr>
        <w:tc>
          <w:tcPr>
            <w:tcW w:w="0" w:type="auto"/>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078"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71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003904">
            <w:pPr>
              <w:jc w:val="both"/>
              <w:rPr>
                <w:rFonts w:cs="Arial"/>
                <w:iCs/>
                <w:sz w:val="18"/>
                <w:szCs w:val="18"/>
                <w:lang w:val="en-ZA"/>
              </w:rPr>
            </w:pPr>
            <w:r w:rsidRPr="009D4501">
              <w:rPr>
                <w:rFonts w:cs="Arial"/>
                <w:iCs/>
                <w:sz w:val="18"/>
                <w:szCs w:val="18"/>
                <w:lang w:val="en-ZA"/>
              </w:rPr>
              <w:t>4.Austria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8545C" w:rsidRPr="009D4501" w:rsidRDefault="0068545C" w:rsidP="004A72F5">
            <w:pPr>
              <w:jc w:val="center"/>
              <w:rPr>
                <w:rFonts w:cs="Arial"/>
                <w:iCs/>
                <w:sz w:val="18"/>
                <w:szCs w:val="18"/>
                <w:lang w:val="en-ZA"/>
              </w:rPr>
            </w:pPr>
            <w:r w:rsidRPr="009D4501">
              <w:rPr>
                <w:rFonts w:cs="Arial"/>
                <w:iCs/>
                <w:sz w:val="18"/>
                <w:szCs w:val="18"/>
                <w:lang w:val="en-ZA"/>
              </w:rPr>
              <w:t>0%</w:t>
            </w:r>
          </w:p>
        </w:tc>
      </w:tr>
    </w:tbl>
    <w:p w:rsidR="00C03740" w:rsidRPr="00225DAC" w:rsidRDefault="00225DAC" w:rsidP="00225DAC">
      <w:pPr>
        <w:jc w:val="both"/>
        <w:rPr>
          <w:rFonts w:cs="Arial"/>
          <w:iCs/>
          <w:sz w:val="20"/>
          <w:szCs w:val="20"/>
        </w:rPr>
      </w:pPr>
      <w:r w:rsidRPr="00225DAC">
        <w:rPr>
          <w:rFonts w:cs="Arial"/>
          <w:iCs/>
          <w:sz w:val="20"/>
          <w:szCs w:val="20"/>
        </w:rPr>
        <w:t>Source: ITC, 2011</w:t>
      </w:r>
    </w:p>
    <w:p w:rsidR="005159BD" w:rsidRDefault="005159BD" w:rsidP="00B5199B">
      <w:pPr>
        <w:pStyle w:val="Heading2"/>
        <w:rPr>
          <w:i w:val="0"/>
          <w:sz w:val="20"/>
          <w:szCs w:val="20"/>
          <w:u w:val="single"/>
        </w:rPr>
      </w:pPr>
      <w:bookmarkStart w:id="14" w:name="_Toc290627297"/>
      <w:r w:rsidRPr="000D562F">
        <w:rPr>
          <w:i w:val="0"/>
          <w:sz w:val="20"/>
          <w:szCs w:val="20"/>
          <w:u w:val="single"/>
        </w:rPr>
        <w:t>Rationale for the target market</w:t>
      </w:r>
      <w:bookmarkEnd w:id="14"/>
    </w:p>
    <w:p w:rsidR="003E5317" w:rsidRDefault="00225DAC" w:rsidP="006D232F">
      <w:pPr>
        <w:pStyle w:val="Heading2"/>
        <w:jc w:val="both"/>
        <w:rPr>
          <w:b w:val="0"/>
          <w:i w:val="0"/>
          <w:sz w:val="20"/>
          <w:szCs w:val="20"/>
        </w:rPr>
      </w:pPr>
      <w:bookmarkStart w:id="15" w:name="_Toc290627298"/>
      <w:r>
        <w:rPr>
          <w:b w:val="0"/>
          <w:i w:val="0"/>
          <w:sz w:val="20"/>
          <w:szCs w:val="20"/>
        </w:rPr>
        <w:t xml:space="preserve">It was decided to explore markets to which South Africa does not currently export sunflower oil. </w:t>
      </w:r>
      <w:r w:rsidR="004E2B9F">
        <w:rPr>
          <w:b w:val="0"/>
          <w:i w:val="0"/>
          <w:sz w:val="20"/>
          <w:szCs w:val="20"/>
        </w:rPr>
        <w:t xml:space="preserve">Among the </w:t>
      </w:r>
      <w:r>
        <w:rPr>
          <w:b w:val="0"/>
          <w:i w:val="0"/>
          <w:sz w:val="20"/>
          <w:szCs w:val="20"/>
        </w:rPr>
        <w:t xml:space="preserve">new </w:t>
      </w:r>
      <w:r w:rsidR="004E2B9F">
        <w:rPr>
          <w:b w:val="0"/>
          <w:i w:val="0"/>
          <w:sz w:val="20"/>
          <w:szCs w:val="20"/>
        </w:rPr>
        <w:t xml:space="preserve">markets with the highest potential to export South African sunflower oil, </w:t>
      </w:r>
      <w:r w:rsidR="003E5317" w:rsidRPr="003E5317">
        <w:rPr>
          <w:b w:val="0"/>
          <w:i w:val="0"/>
          <w:sz w:val="20"/>
          <w:szCs w:val="20"/>
        </w:rPr>
        <w:t xml:space="preserve">the </w:t>
      </w:r>
      <w:r w:rsidR="00B30A4F">
        <w:rPr>
          <w:b w:val="0"/>
          <w:i w:val="0"/>
          <w:sz w:val="20"/>
          <w:szCs w:val="20"/>
        </w:rPr>
        <w:t>UK was chosen as t</w:t>
      </w:r>
      <w:r w:rsidR="008250EB">
        <w:rPr>
          <w:b w:val="0"/>
          <w:i w:val="0"/>
          <w:sz w:val="20"/>
          <w:szCs w:val="20"/>
        </w:rPr>
        <w:t>he market with the most suited</w:t>
      </w:r>
      <w:r w:rsidR="00B30A4F">
        <w:rPr>
          <w:b w:val="0"/>
          <w:i w:val="0"/>
          <w:sz w:val="20"/>
          <w:szCs w:val="20"/>
        </w:rPr>
        <w:t xml:space="preserve"> for South African sunflower oil. The UK is the world biggest importer of sunflower oil, consuming 10.1% of worl</w:t>
      </w:r>
      <w:r w:rsidR="006D232F">
        <w:rPr>
          <w:b w:val="0"/>
          <w:i w:val="0"/>
          <w:sz w:val="20"/>
          <w:szCs w:val="20"/>
        </w:rPr>
        <w:t xml:space="preserve">d exports. The amount of Sunflower oil imported into the UK </w:t>
      </w:r>
      <w:r w:rsidR="008250EB">
        <w:rPr>
          <w:b w:val="0"/>
          <w:i w:val="0"/>
          <w:sz w:val="20"/>
          <w:szCs w:val="20"/>
        </w:rPr>
        <w:t xml:space="preserve">also </w:t>
      </w:r>
      <w:r w:rsidR="00B30A4F">
        <w:rPr>
          <w:b w:val="0"/>
          <w:i w:val="0"/>
          <w:sz w:val="20"/>
          <w:szCs w:val="20"/>
        </w:rPr>
        <w:t xml:space="preserve">increased by </w:t>
      </w:r>
      <w:r w:rsidR="006D232F">
        <w:rPr>
          <w:b w:val="0"/>
          <w:i w:val="0"/>
          <w:sz w:val="20"/>
          <w:szCs w:val="20"/>
        </w:rPr>
        <w:t>19</w:t>
      </w:r>
      <w:r w:rsidR="00B30A4F">
        <w:rPr>
          <w:b w:val="0"/>
          <w:i w:val="0"/>
          <w:sz w:val="20"/>
          <w:szCs w:val="20"/>
        </w:rPr>
        <w:t>%</w:t>
      </w:r>
      <w:r w:rsidR="00116958">
        <w:rPr>
          <w:b w:val="0"/>
          <w:i w:val="0"/>
          <w:sz w:val="20"/>
          <w:szCs w:val="20"/>
        </w:rPr>
        <w:t xml:space="preserve"> between 2005 and 2009. </w:t>
      </w:r>
      <w:r w:rsidR="00B30A4F">
        <w:rPr>
          <w:b w:val="0"/>
          <w:i w:val="0"/>
          <w:sz w:val="20"/>
          <w:szCs w:val="20"/>
        </w:rPr>
        <w:t xml:space="preserve">  </w:t>
      </w:r>
      <w:r w:rsidR="006D232F">
        <w:rPr>
          <w:b w:val="0"/>
          <w:i w:val="0"/>
          <w:sz w:val="20"/>
          <w:szCs w:val="20"/>
        </w:rPr>
        <w:t>South Africa faces a 0% import tariff when importing into the UK. This provides South African sunflower oil exporters with a 6.2% tariff advantage over a competitor with a considerable market share in the UK, namely Argentina.</w:t>
      </w:r>
      <w:r w:rsidR="008250EB">
        <w:rPr>
          <w:b w:val="0"/>
          <w:i w:val="0"/>
          <w:sz w:val="20"/>
          <w:szCs w:val="20"/>
        </w:rPr>
        <w:t xml:space="preserve"> Therefore the decision was based on the large size of the market, the strong growth and the absence any tariffs.</w:t>
      </w:r>
    </w:p>
    <w:p w:rsidR="00BE132C" w:rsidRPr="00BE132C" w:rsidRDefault="00BE132C" w:rsidP="00BE132C"/>
    <w:p w:rsidR="0018687C" w:rsidRDefault="0018687C" w:rsidP="00387443">
      <w:pPr>
        <w:pStyle w:val="Heading2"/>
        <w:rPr>
          <w:i w:val="0"/>
          <w:sz w:val="20"/>
          <w:szCs w:val="20"/>
          <w:u w:val="single"/>
        </w:rPr>
      </w:pPr>
      <w:r w:rsidRPr="000D562F">
        <w:rPr>
          <w:i w:val="0"/>
          <w:sz w:val="20"/>
          <w:szCs w:val="20"/>
          <w:u w:val="single"/>
        </w:rPr>
        <w:t>South Africa’s trade performance in target market</w:t>
      </w:r>
      <w:bookmarkEnd w:id="15"/>
    </w:p>
    <w:p w:rsidR="000E2CDE" w:rsidRDefault="000E2CDE" w:rsidP="000E2CDE"/>
    <w:p w:rsidR="000E2CDE" w:rsidRPr="000E2CDE" w:rsidRDefault="000E2CDE" w:rsidP="000E2CDE">
      <w:pPr>
        <w:rPr>
          <w:sz w:val="20"/>
          <w:szCs w:val="20"/>
        </w:rPr>
      </w:pPr>
      <w:r w:rsidRPr="000E2CDE">
        <w:rPr>
          <w:sz w:val="20"/>
          <w:szCs w:val="20"/>
        </w:rPr>
        <w:t>South Africa is currently not exporting to the UK which brings about tha</w:t>
      </w:r>
      <w:r>
        <w:rPr>
          <w:sz w:val="20"/>
          <w:szCs w:val="20"/>
        </w:rPr>
        <w:t xml:space="preserve">t South Africa currently </w:t>
      </w:r>
      <w:r w:rsidRPr="000E2CDE">
        <w:rPr>
          <w:sz w:val="20"/>
          <w:szCs w:val="20"/>
        </w:rPr>
        <w:t>has no trade performance in the UK.</w:t>
      </w:r>
    </w:p>
    <w:p w:rsidR="006C3289" w:rsidRPr="000D562F" w:rsidRDefault="006C3289" w:rsidP="000E2CDE">
      <w:pPr>
        <w:tabs>
          <w:tab w:val="num" w:pos="2160"/>
        </w:tabs>
        <w:jc w:val="both"/>
        <w:rPr>
          <w:rFonts w:cs="Arial"/>
          <w:iCs/>
          <w:color w:val="4F81BD" w:themeColor="accent1"/>
          <w:sz w:val="20"/>
          <w:szCs w:val="20"/>
        </w:rPr>
      </w:pPr>
    </w:p>
    <w:p w:rsidR="0018687C" w:rsidRDefault="0018687C" w:rsidP="00387443">
      <w:pPr>
        <w:pStyle w:val="Heading2"/>
        <w:rPr>
          <w:i w:val="0"/>
          <w:sz w:val="20"/>
          <w:szCs w:val="20"/>
          <w:u w:val="single"/>
        </w:rPr>
      </w:pPr>
      <w:bookmarkStart w:id="16" w:name="_Toc290627299"/>
      <w:r w:rsidRPr="000D562F">
        <w:rPr>
          <w:i w:val="0"/>
          <w:sz w:val="20"/>
          <w:szCs w:val="20"/>
          <w:u w:val="single"/>
        </w:rPr>
        <w:t>Competition in the target market</w:t>
      </w:r>
      <w:bookmarkEnd w:id="16"/>
    </w:p>
    <w:p w:rsidR="00793CE2" w:rsidRDefault="00793CE2" w:rsidP="00793CE2"/>
    <w:p w:rsidR="00793CE2" w:rsidRDefault="00776CF7" w:rsidP="009D4501">
      <w:pPr>
        <w:jc w:val="both"/>
        <w:rPr>
          <w:sz w:val="20"/>
          <w:szCs w:val="20"/>
        </w:rPr>
      </w:pPr>
      <w:r w:rsidRPr="00776CF7">
        <w:rPr>
          <w:sz w:val="20"/>
          <w:szCs w:val="20"/>
        </w:rPr>
        <w:t xml:space="preserve">South Africa’s </w:t>
      </w:r>
      <w:r>
        <w:rPr>
          <w:sz w:val="20"/>
          <w:szCs w:val="20"/>
        </w:rPr>
        <w:t>main competitors for sunflower oil in the UK market in terms of value is France.  In 2009 France exported sunflower oil to the value of US$ 113 626 000 to the UK.   Following France was the Netherlands</w:t>
      </w:r>
      <w:r w:rsidR="00AE616E">
        <w:rPr>
          <w:sz w:val="20"/>
          <w:szCs w:val="20"/>
        </w:rPr>
        <w:t xml:space="preserve"> exporting sunflower oil to the value of US$ 44 689 000</w:t>
      </w:r>
      <w:r w:rsidR="00F90ED8">
        <w:rPr>
          <w:sz w:val="20"/>
          <w:szCs w:val="20"/>
        </w:rPr>
        <w:t xml:space="preserve"> and Belgium with exports to the UK of US$ 19 314 000.  In terms of quantities France exported 82 147 tons of sunflower oil and the Netherlands exported 32 766tons of sunflower oil to the UK.  Belgium, Argentina and Germany exported respectively </w:t>
      </w:r>
      <w:r w:rsidR="0094274D">
        <w:rPr>
          <w:sz w:val="20"/>
          <w:szCs w:val="20"/>
        </w:rPr>
        <w:t>14 306 tons, 14 910 tons and 7 907 tons.</w:t>
      </w:r>
      <w:r w:rsidR="00F90ED8">
        <w:rPr>
          <w:sz w:val="20"/>
          <w:szCs w:val="20"/>
        </w:rPr>
        <w:t xml:space="preserve"> </w:t>
      </w:r>
      <w:r w:rsidR="00AE616E">
        <w:rPr>
          <w:sz w:val="20"/>
          <w:szCs w:val="20"/>
        </w:rPr>
        <w:t xml:space="preserve"> </w:t>
      </w:r>
    </w:p>
    <w:p w:rsidR="002E0027" w:rsidRDefault="002E0027">
      <w:pPr>
        <w:rPr>
          <w:sz w:val="20"/>
          <w:szCs w:val="20"/>
        </w:rPr>
      </w:pPr>
      <w:r>
        <w:rPr>
          <w:sz w:val="20"/>
          <w:szCs w:val="20"/>
        </w:rPr>
        <w:br w:type="page"/>
      </w:r>
    </w:p>
    <w:p w:rsidR="008B7ACD" w:rsidRPr="00776CF7" w:rsidRDefault="008B7ACD" w:rsidP="009D4501">
      <w:pPr>
        <w:jc w:val="both"/>
        <w:rPr>
          <w:sz w:val="20"/>
          <w:szCs w:val="20"/>
        </w:rPr>
      </w:pPr>
    </w:p>
    <w:p w:rsidR="00793CE2" w:rsidRPr="008B7ACD" w:rsidRDefault="008B7ACD" w:rsidP="008B7ACD">
      <w:pPr>
        <w:jc w:val="both"/>
        <w:rPr>
          <w:rFonts w:cs="Arial"/>
          <w:iCs/>
          <w:sz w:val="20"/>
          <w:szCs w:val="20"/>
        </w:rPr>
      </w:pPr>
      <w:r w:rsidRPr="00225DAC">
        <w:rPr>
          <w:rFonts w:cs="Arial"/>
          <w:iCs/>
          <w:sz w:val="20"/>
          <w:szCs w:val="20"/>
        </w:rPr>
        <w:t xml:space="preserve">Table </w:t>
      </w:r>
      <w:r w:rsidR="00677EA2">
        <w:rPr>
          <w:rFonts w:cs="Arial"/>
          <w:iCs/>
          <w:sz w:val="20"/>
          <w:szCs w:val="20"/>
        </w:rPr>
        <w:t>5</w:t>
      </w:r>
      <w:r w:rsidRPr="00225DAC">
        <w:rPr>
          <w:rFonts w:cs="Arial"/>
          <w:iCs/>
          <w:sz w:val="20"/>
          <w:szCs w:val="20"/>
        </w:rPr>
        <w:t>: Potential markets for South African sunflower oil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3240"/>
        <w:gridCol w:w="2430"/>
        <w:gridCol w:w="2160"/>
      </w:tblGrid>
      <w:tr w:rsidR="00793CE2" w:rsidRPr="00776CF7" w:rsidTr="009D4501">
        <w:trPr>
          <w:trHeight w:val="345"/>
        </w:trPr>
        <w:tc>
          <w:tcPr>
            <w:tcW w:w="1170" w:type="dxa"/>
            <w:shd w:val="clear" w:color="auto" w:fill="auto"/>
            <w:noWrap/>
            <w:vAlign w:val="center"/>
            <w:hideMark/>
          </w:tcPr>
          <w:p w:rsidR="00793CE2" w:rsidRPr="00776CF7" w:rsidRDefault="009D4501" w:rsidP="009D4501">
            <w:pPr>
              <w:jc w:val="center"/>
              <w:rPr>
                <w:rFonts w:cs="Arial"/>
                <w:b/>
                <w:color w:val="000000"/>
                <w:sz w:val="18"/>
                <w:szCs w:val="18"/>
                <w:lang w:val="en-US"/>
              </w:rPr>
            </w:pPr>
            <w:r>
              <w:rPr>
                <w:rFonts w:cs="Arial"/>
                <w:b/>
                <w:color w:val="000000"/>
                <w:sz w:val="18"/>
                <w:szCs w:val="18"/>
                <w:lang w:val="en-US"/>
              </w:rPr>
              <w:t>Rank</w:t>
            </w:r>
          </w:p>
        </w:tc>
        <w:tc>
          <w:tcPr>
            <w:tcW w:w="3240" w:type="dxa"/>
            <w:shd w:val="clear" w:color="auto" w:fill="auto"/>
            <w:noWrap/>
            <w:vAlign w:val="center"/>
            <w:hideMark/>
          </w:tcPr>
          <w:p w:rsidR="00793CE2" w:rsidRPr="00776CF7" w:rsidRDefault="00776CF7" w:rsidP="009D4501">
            <w:pPr>
              <w:spacing w:before="120" w:after="120"/>
              <w:jc w:val="center"/>
              <w:rPr>
                <w:rFonts w:cs="Arial"/>
                <w:b/>
                <w:color w:val="000000"/>
                <w:sz w:val="18"/>
                <w:szCs w:val="18"/>
                <w:lang w:val="en-US"/>
              </w:rPr>
            </w:pPr>
            <w:r>
              <w:rPr>
                <w:rFonts w:cs="Arial"/>
                <w:b/>
                <w:color w:val="000000"/>
                <w:sz w:val="18"/>
                <w:szCs w:val="18"/>
                <w:lang w:val="en-US"/>
              </w:rPr>
              <w:t>Supplying markets for sunflower oil imported by the United Kingdom</w:t>
            </w:r>
          </w:p>
        </w:tc>
        <w:tc>
          <w:tcPr>
            <w:tcW w:w="2430" w:type="dxa"/>
            <w:shd w:val="clear" w:color="auto" w:fill="auto"/>
            <w:vAlign w:val="center"/>
            <w:hideMark/>
          </w:tcPr>
          <w:p w:rsidR="00793CE2" w:rsidRPr="00776CF7" w:rsidRDefault="00793CE2" w:rsidP="009D4501">
            <w:pPr>
              <w:spacing w:before="120" w:after="120"/>
              <w:jc w:val="center"/>
              <w:rPr>
                <w:rFonts w:cs="Arial"/>
                <w:b/>
                <w:color w:val="000000"/>
                <w:sz w:val="18"/>
                <w:szCs w:val="18"/>
                <w:lang w:val="en-US"/>
              </w:rPr>
            </w:pPr>
            <w:r w:rsidRPr="00776CF7">
              <w:rPr>
                <w:rFonts w:cs="Arial"/>
                <w:b/>
                <w:color w:val="000000"/>
                <w:sz w:val="18"/>
                <w:szCs w:val="18"/>
                <w:lang w:val="en-US"/>
              </w:rPr>
              <w:t>Imported value 2009 (USD thousand)</w:t>
            </w:r>
          </w:p>
        </w:tc>
        <w:tc>
          <w:tcPr>
            <w:tcW w:w="2160" w:type="dxa"/>
            <w:shd w:val="clear" w:color="auto" w:fill="auto"/>
            <w:vAlign w:val="center"/>
            <w:hideMark/>
          </w:tcPr>
          <w:p w:rsidR="00793CE2" w:rsidRPr="00776CF7" w:rsidRDefault="00793CE2" w:rsidP="009D4501">
            <w:pPr>
              <w:spacing w:before="120" w:after="120"/>
              <w:jc w:val="center"/>
              <w:rPr>
                <w:rFonts w:cs="Arial"/>
                <w:b/>
                <w:color w:val="000000"/>
                <w:sz w:val="18"/>
                <w:szCs w:val="18"/>
                <w:lang w:val="en-US"/>
              </w:rPr>
            </w:pPr>
            <w:r w:rsidRPr="00776CF7">
              <w:rPr>
                <w:rFonts w:cs="Arial"/>
                <w:b/>
                <w:color w:val="000000"/>
                <w:sz w:val="18"/>
                <w:szCs w:val="18"/>
                <w:lang w:val="en-US"/>
              </w:rPr>
              <w:t>Imported quantity 2009 (tons)</w:t>
            </w:r>
          </w:p>
        </w:tc>
      </w:tr>
      <w:tr w:rsidR="00793CE2" w:rsidRPr="00776CF7" w:rsidTr="009D4501">
        <w:trPr>
          <w:trHeight w:val="300"/>
        </w:trPr>
        <w:tc>
          <w:tcPr>
            <w:tcW w:w="1170" w:type="dxa"/>
            <w:shd w:val="clear" w:color="auto" w:fill="auto"/>
            <w:noWrap/>
            <w:vAlign w:val="center"/>
            <w:hideMark/>
          </w:tcPr>
          <w:p w:rsidR="00793CE2" w:rsidRPr="00776CF7" w:rsidRDefault="00793CE2" w:rsidP="009D4501">
            <w:pPr>
              <w:jc w:val="center"/>
              <w:rPr>
                <w:rFonts w:cs="Arial"/>
                <w:color w:val="000000"/>
                <w:sz w:val="18"/>
                <w:szCs w:val="18"/>
                <w:lang w:val="en-US"/>
              </w:rPr>
            </w:pPr>
            <w:r w:rsidRPr="00776CF7">
              <w:rPr>
                <w:rFonts w:cs="Arial"/>
                <w:color w:val="000000"/>
                <w:sz w:val="18"/>
                <w:szCs w:val="18"/>
                <w:lang w:val="en-US"/>
              </w:rPr>
              <w:t>1</w:t>
            </w:r>
            <w:r w:rsidR="009D4501">
              <w:rPr>
                <w:rFonts w:cs="Arial"/>
                <w:color w:val="000000"/>
                <w:sz w:val="18"/>
                <w:szCs w:val="18"/>
                <w:lang w:val="en-US"/>
              </w:rPr>
              <w:t>.</w:t>
            </w:r>
          </w:p>
        </w:tc>
        <w:tc>
          <w:tcPr>
            <w:tcW w:w="3240" w:type="dxa"/>
            <w:shd w:val="clear" w:color="auto" w:fill="auto"/>
            <w:noWrap/>
            <w:vAlign w:val="bottom"/>
            <w:hideMark/>
          </w:tcPr>
          <w:p w:rsidR="00793CE2" w:rsidRPr="00776CF7" w:rsidRDefault="00793CE2" w:rsidP="00793CE2">
            <w:pPr>
              <w:rPr>
                <w:rFonts w:cs="Arial"/>
                <w:color w:val="000000"/>
                <w:sz w:val="18"/>
                <w:szCs w:val="18"/>
                <w:lang w:val="en-US"/>
              </w:rPr>
            </w:pPr>
            <w:r w:rsidRPr="00776CF7">
              <w:rPr>
                <w:rFonts w:cs="Arial"/>
                <w:color w:val="000000"/>
                <w:sz w:val="18"/>
                <w:szCs w:val="18"/>
                <w:lang w:val="en-US"/>
              </w:rPr>
              <w:t>France</w:t>
            </w:r>
          </w:p>
        </w:tc>
        <w:tc>
          <w:tcPr>
            <w:tcW w:w="243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113</w:t>
            </w:r>
            <w:r w:rsidR="00776CF7">
              <w:rPr>
                <w:rFonts w:cs="Arial"/>
                <w:color w:val="000000"/>
                <w:sz w:val="18"/>
                <w:szCs w:val="18"/>
                <w:lang w:val="en-US"/>
              </w:rPr>
              <w:t xml:space="preserve"> </w:t>
            </w:r>
            <w:r w:rsidRPr="00776CF7">
              <w:rPr>
                <w:rFonts w:cs="Arial"/>
                <w:color w:val="000000"/>
                <w:sz w:val="18"/>
                <w:szCs w:val="18"/>
                <w:lang w:val="en-US"/>
              </w:rPr>
              <w:t>626</w:t>
            </w:r>
          </w:p>
        </w:tc>
        <w:tc>
          <w:tcPr>
            <w:tcW w:w="216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82</w:t>
            </w:r>
            <w:r w:rsidR="00776CF7">
              <w:rPr>
                <w:rFonts w:cs="Arial"/>
                <w:color w:val="000000"/>
                <w:sz w:val="18"/>
                <w:szCs w:val="18"/>
                <w:lang w:val="en-US"/>
              </w:rPr>
              <w:t xml:space="preserve"> </w:t>
            </w:r>
            <w:r w:rsidRPr="00776CF7">
              <w:rPr>
                <w:rFonts w:cs="Arial"/>
                <w:color w:val="000000"/>
                <w:sz w:val="18"/>
                <w:szCs w:val="18"/>
                <w:lang w:val="en-US"/>
              </w:rPr>
              <w:t>147</w:t>
            </w:r>
          </w:p>
        </w:tc>
      </w:tr>
      <w:tr w:rsidR="00793CE2" w:rsidRPr="00776CF7" w:rsidTr="009D4501">
        <w:trPr>
          <w:trHeight w:val="300"/>
        </w:trPr>
        <w:tc>
          <w:tcPr>
            <w:tcW w:w="1170" w:type="dxa"/>
            <w:shd w:val="clear" w:color="auto" w:fill="auto"/>
            <w:noWrap/>
            <w:vAlign w:val="center"/>
            <w:hideMark/>
          </w:tcPr>
          <w:p w:rsidR="00793CE2" w:rsidRPr="00776CF7" w:rsidRDefault="00793CE2" w:rsidP="009D4501">
            <w:pPr>
              <w:jc w:val="center"/>
              <w:rPr>
                <w:rFonts w:cs="Arial"/>
                <w:color w:val="000000"/>
                <w:sz w:val="18"/>
                <w:szCs w:val="18"/>
                <w:lang w:val="en-US"/>
              </w:rPr>
            </w:pPr>
            <w:r w:rsidRPr="00776CF7">
              <w:rPr>
                <w:rFonts w:cs="Arial"/>
                <w:color w:val="000000"/>
                <w:sz w:val="18"/>
                <w:szCs w:val="18"/>
                <w:lang w:val="en-US"/>
              </w:rPr>
              <w:t>2</w:t>
            </w:r>
            <w:r w:rsidR="009D4501">
              <w:rPr>
                <w:rFonts w:cs="Arial"/>
                <w:color w:val="000000"/>
                <w:sz w:val="18"/>
                <w:szCs w:val="18"/>
                <w:lang w:val="en-US"/>
              </w:rPr>
              <w:t>.</w:t>
            </w:r>
          </w:p>
        </w:tc>
        <w:tc>
          <w:tcPr>
            <w:tcW w:w="3240" w:type="dxa"/>
            <w:shd w:val="clear" w:color="auto" w:fill="auto"/>
            <w:noWrap/>
            <w:vAlign w:val="bottom"/>
            <w:hideMark/>
          </w:tcPr>
          <w:p w:rsidR="00793CE2" w:rsidRPr="00776CF7" w:rsidRDefault="00793CE2" w:rsidP="00793CE2">
            <w:pPr>
              <w:rPr>
                <w:rFonts w:cs="Arial"/>
                <w:color w:val="000000"/>
                <w:sz w:val="18"/>
                <w:szCs w:val="18"/>
                <w:lang w:val="en-US"/>
              </w:rPr>
            </w:pPr>
            <w:r w:rsidRPr="00776CF7">
              <w:rPr>
                <w:rFonts w:cs="Arial"/>
                <w:color w:val="000000"/>
                <w:sz w:val="18"/>
                <w:szCs w:val="18"/>
                <w:lang w:val="en-US"/>
              </w:rPr>
              <w:t>Netherlands</w:t>
            </w:r>
          </w:p>
        </w:tc>
        <w:tc>
          <w:tcPr>
            <w:tcW w:w="243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44</w:t>
            </w:r>
            <w:r w:rsidR="00776CF7">
              <w:rPr>
                <w:rFonts w:cs="Arial"/>
                <w:color w:val="000000"/>
                <w:sz w:val="18"/>
                <w:szCs w:val="18"/>
                <w:lang w:val="en-US"/>
              </w:rPr>
              <w:t xml:space="preserve"> </w:t>
            </w:r>
            <w:r w:rsidRPr="00776CF7">
              <w:rPr>
                <w:rFonts w:cs="Arial"/>
                <w:color w:val="000000"/>
                <w:sz w:val="18"/>
                <w:szCs w:val="18"/>
                <w:lang w:val="en-US"/>
              </w:rPr>
              <w:t>689</w:t>
            </w:r>
          </w:p>
        </w:tc>
        <w:tc>
          <w:tcPr>
            <w:tcW w:w="216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32</w:t>
            </w:r>
            <w:r w:rsidR="00776CF7">
              <w:rPr>
                <w:rFonts w:cs="Arial"/>
                <w:color w:val="000000"/>
                <w:sz w:val="18"/>
                <w:szCs w:val="18"/>
                <w:lang w:val="en-US"/>
              </w:rPr>
              <w:t xml:space="preserve"> </w:t>
            </w:r>
            <w:r w:rsidRPr="00776CF7">
              <w:rPr>
                <w:rFonts w:cs="Arial"/>
                <w:color w:val="000000"/>
                <w:sz w:val="18"/>
                <w:szCs w:val="18"/>
                <w:lang w:val="en-US"/>
              </w:rPr>
              <w:t>766</w:t>
            </w:r>
          </w:p>
        </w:tc>
      </w:tr>
      <w:tr w:rsidR="00793CE2" w:rsidRPr="00776CF7" w:rsidTr="009D4501">
        <w:trPr>
          <w:trHeight w:val="300"/>
        </w:trPr>
        <w:tc>
          <w:tcPr>
            <w:tcW w:w="1170" w:type="dxa"/>
            <w:shd w:val="clear" w:color="auto" w:fill="auto"/>
            <w:noWrap/>
            <w:vAlign w:val="center"/>
            <w:hideMark/>
          </w:tcPr>
          <w:p w:rsidR="00793CE2" w:rsidRPr="00776CF7" w:rsidRDefault="00793CE2" w:rsidP="009D4501">
            <w:pPr>
              <w:jc w:val="center"/>
              <w:rPr>
                <w:rFonts w:cs="Arial"/>
                <w:color w:val="000000"/>
                <w:sz w:val="18"/>
                <w:szCs w:val="18"/>
                <w:lang w:val="en-US"/>
              </w:rPr>
            </w:pPr>
            <w:r w:rsidRPr="00776CF7">
              <w:rPr>
                <w:rFonts w:cs="Arial"/>
                <w:color w:val="000000"/>
                <w:sz w:val="18"/>
                <w:szCs w:val="18"/>
                <w:lang w:val="en-US"/>
              </w:rPr>
              <w:t>3</w:t>
            </w:r>
            <w:r w:rsidR="009D4501">
              <w:rPr>
                <w:rFonts w:cs="Arial"/>
                <w:color w:val="000000"/>
                <w:sz w:val="18"/>
                <w:szCs w:val="18"/>
                <w:lang w:val="en-US"/>
              </w:rPr>
              <w:t>.</w:t>
            </w:r>
          </w:p>
        </w:tc>
        <w:tc>
          <w:tcPr>
            <w:tcW w:w="3240" w:type="dxa"/>
            <w:shd w:val="clear" w:color="auto" w:fill="auto"/>
            <w:noWrap/>
            <w:vAlign w:val="bottom"/>
            <w:hideMark/>
          </w:tcPr>
          <w:p w:rsidR="00793CE2" w:rsidRPr="00776CF7" w:rsidRDefault="00793CE2" w:rsidP="00793CE2">
            <w:pPr>
              <w:rPr>
                <w:rFonts w:cs="Arial"/>
                <w:color w:val="000000"/>
                <w:sz w:val="18"/>
                <w:szCs w:val="18"/>
                <w:lang w:val="en-US"/>
              </w:rPr>
            </w:pPr>
            <w:r w:rsidRPr="00776CF7">
              <w:rPr>
                <w:rFonts w:cs="Arial"/>
                <w:color w:val="000000"/>
                <w:sz w:val="18"/>
                <w:szCs w:val="18"/>
                <w:lang w:val="en-US"/>
              </w:rPr>
              <w:t>Belgium</w:t>
            </w:r>
          </w:p>
        </w:tc>
        <w:tc>
          <w:tcPr>
            <w:tcW w:w="243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19</w:t>
            </w:r>
            <w:r w:rsidR="00776CF7">
              <w:rPr>
                <w:rFonts w:cs="Arial"/>
                <w:color w:val="000000"/>
                <w:sz w:val="18"/>
                <w:szCs w:val="18"/>
                <w:lang w:val="en-US"/>
              </w:rPr>
              <w:t xml:space="preserve"> </w:t>
            </w:r>
            <w:r w:rsidRPr="00776CF7">
              <w:rPr>
                <w:rFonts w:cs="Arial"/>
                <w:color w:val="000000"/>
                <w:sz w:val="18"/>
                <w:szCs w:val="18"/>
                <w:lang w:val="en-US"/>
              </w:rPr>
              <w:t>314</w:t>
            </w:r>
          </w:p>
        </w:tc>
        <w:tc>
          <w:tcPr>
            <w:tcW w:w="216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14</w:t>
            </w:r>
            <w:r w:rsidR="00776CF7">
              <w:rPr>
                <w:rFonts w:cs="Arial"/>
                <w:color w:val="000000"/>
                <w:sz w:val="18"/>
                <w:szCs w:val="18"/>
                <w:lang w:val="en-US"/>
              </w:rPr>
              <w:t xml:space="preserve"> </w:t>
            </w:r>
            <w:r w:rsidRPr="00776CF7">
              <w:rPr>
                <w:rFonts w:cs="Arial"/>
                <w:color w:val="000000"/>
                <w:sz w:val="18"/>
                <w:szCs w:val="18"/>
                <w:lang w:val="en-US"/>
              </w:rPr>
              <w:t>306</w:t>
            </w:r>
          </w:p>
        </w:tc>
      </w:tr>
      <w:tr w:rsidR="00793CE2" w:rsidRPr="00776CF7" w:rsidTr="009D4501">
        <w:trPr>
          <w:trHeight w:val="300"/>
        </w:trPr>
        <w:tc>
          <w:tcPr>
            <w:tcW w:w="1170" w:type="dxa"/>
            <w:shd w:val="clear" w:color="auto" w:fill="auto"/>
            <w:noWrap/>
            <w:vAlign w:val="center"/>
            <w:hideMark/>
          </w:tcPr>
          <w:p w:rsidR="00793CE2" w:rsidRPr="00776CF7" w:rsidRDefault="00793CE2" w:rsidP="009D4501">
            <w:pPr>
              <w:jc w:val="center"/>
              <w:rPr>
                <w:rFonts w:cs="Arial"/>
                <w:color w:val="000000"/>
                <w:sz w:val="18"/>
                <w:szCs w:val="18"/>
                <w:lang w:val="en-US"/>
              </w:rPr>
            </w:pPr>
            <w:r w:rsidRPr="00776CF7">
              <w:rPr>
                <w:rFonts w:cs="Arial"/>
                <w:color w:val="000000"/>
                <w:sz w:val="18"/>
                <w:szCs w:val="18"/>
                <w:lang w:val="en-US"/>
              </w:rPr>
              <w:t>4</w:t>
            </w:r>
            <w:r w:rsidR="009D4501">
              <w:rPr>
                <w:rFonts w:cs="Arial"/>
                <w:color w:val="000000"/>
                <w:sz w:val="18"/>
                <w:szCs w:val="18"/>
                <w:lang w:val="en-US"/>
              </w:rPr>
              <w:t>.</w:t>
            </w:r>
          </w:p>
        </w:tc>
        <w:tc>
          <w:tcPr>
            <w:tcW w:w="3240" w:type="dxa"/>
            <w:shd w:val="clear" w:color="auto" w:fill="auto"/>
            <w:noWrap/>
            <w:vAlign w:val="bottom"/>
            <w:hideMark/>
          </w:tcPr>
          <w:p w:rsidR="00793CE2" w:rsidRPr="00776CF7" w:rsidRDefault="00793CE2" w:rsidP="00793CE2">
            <w:pPr>
              <w:rPr>
                <w:rFonts w:cs="Arial"/>
                <w:color w:val="000000"/>
                <w:sz w:val="18"/>
                <w:szCs w:val="18"/>
                <w:lang w:val="en-US"/>
              </w:rPr>
            </w:pPr>
            <w:r w:rsidRPr="00776CF7">
              <w:rPr>
                <w:rFonts w:cs="Arial"/>
                <w:color w:val="000000"/>
                <w:sz w:val="18"/>
                <w:szCs w:val="18"/>
                <w:lang w:val="en-US"/>
              </w:rPr>
              <w:t>Argentina</w:t>
            </w:r>
          </w:p>
        </w:tc>
        <w:tc>
          <w:tcPr>
            <w:tcW w:w="243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18</w:t>
            </w:r>
            <w:r w:rsidR="00776CF7">
              <w:rPr>
                <w:rFonts w:cs="Arial"/>
                <w:color w:val="000000"/>
                <w:sz w:val="18"/>
                <w:szCs w:val="18"/>
                <w:lang w:val="en-US"/>
              </w:rPr>
              <w:t xml:space="preserve"> </w:t>
            </w:r>
            <w:r w:rsidRPr="00776CF7">
              <w:rPr>
                <w:rFonts w:cs="Arial"/>
                <w:color w:val="000000"/>
                <w:sz w:val="18"/>
                <w:szCs w:val="18"/>
                <w:lang w:val="en-US"/>
              </w:rPr>
              <w:t>204</w:t>
            </w:r>
          </w:p>
        </w:tc>
        <w:tc>
          <w:tcPr>
            <w:tcW w:w="216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14</w:t>
            </w:r>
            <w:r w:rsidR="00776CF7">
              <w:rPr>
                <w:rFonts w:cs="Arial"/>
                <w:color w:val="000000"/>
                <w:sz w:val="18"/>
                <w:szCs w:val="18"/>
                <w:lang w:val="en-US"/>
              </w:rPr>
              <w:t xml:space="preserve"> </w:t>
            </w:r>
            <w:r w:rsidRPr="00776CF7">
              <w:rPr>
                <w:rFonts w:cs="Arial"/>
                <w:color w:val="000000"/>
                <w:sz w:val="18"/>
                <w:szCs w:val="18"/>
                <w:lang w:val="en-US"/>
              </w:rPr>
              <w:t>910</w:t>
            </w:r>
          </w:p>
        </w:tc>
      </w:tr>
      <w:tr w:rsidR="00793CE2" w:rsidRPr="00776CF7" w:rsidTr="009D4501">
        <w:trPr>
          <w:trHeight w:val="300"/>
        </w:trPr>
        <w:tc>
          <w:tcPr>
            <w:tcW w:w="1170" w:type="dxa"/>
            <w:shd w:val="clear" w:color="auto" w:fill="auto"/>
            <w:noWrap/>
            <w:vAlign w:val="center"/>
            <w:hideMark/>
          </w:tcPr>
          <w:p w:rsidR="00793CE2" w:rsidRPr="00776CF7" w:rsidRDefault="00793CE2" w:rsidP="009D4501">
            <w:pPr>
              <w:jc w:val="center"/>
              <w:rPr>
                <w:rFonts w:cs="Arial"/>
                <w:color w:val="000000"/>
                <w:sz w:val="18"/>
                <w:szCs w:val="18"/>
                <w:lang w:val="en-US"/>
              </w:rPr>
            </w:pPr>
            <w:r w:rsidRPr="00776CF7">
              <w:rPr>
                <w:rFonts w:cs="Arial"/>
                <w:color w:val="000000"/>
                <w:sz w:val="18"/>
                <w:szCs w:val="18"/>
                <w:lang w:val="en-US"/>
              </w:rPr>
              <w:t>5</w:t>
            </w:r>
            <w:r w:rsidR="009D4501">
              <w:rPr>
                <w:rFonts w:cs="Arial"/>
                <w:color w:val="000000"/>
                <w:sz w:val="18"/>
                <w:szCs w:val="18"/>
                <w:lang w:val="en-US"/>
              </w:rPr>
              <w:t>.</w:t>
            </w:r>
          </w:p>
        </w:tc>
        <w:tc>
          <w:tcPr>
            <w:tcW w:w="3240" w:type="dxa"/>
            <w:shd w:val="clear" w:color="auto" w:fill="auto"/>
            <w:noWrap/>
            <w:vAlign w:val="bottom"/>
            <w:hideMark/>
          </w:tcPr>
          <w:p w:rsidR="00793CE2" w:rsidRPr="00776CF7" w:rsidRDefault="00793CE2" w:rsidP="00793CE2">
            <w:pPr>
              <w:rPr>
                <w:rFonts w:cs="Arial"/>
                <w:color w:val="000000"/>
                <w:sz w:val="18"/>
                <w:szCs w:val="18"/>
                <w:lang w:val="en-US"/>
              </w:rPr>
            </w:pPr>
            <w:r w:rsidRPr="00776CF7">
              <w:rPr>
                <w:rFonts w:cs="Arial"/>
                <w:color w:val="000000"/>
                <w:sz w:val="18"/>
                <w:szCs w:val="18"/>
                <w:lang w:val="en-US"/>
              </w:rPr>
              <w:t>Germany</w:t>
            </w:r>
          </w:p>
        </w:tc>
        <w:tc>
          <w:tcPr>
            <w:tcW w:w="243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12</w:t>
            </w:r>
            <w:r w:rsidR="00776CF7">
              <w:rPr>
                <w:rFonts w:cs="Arial"/>
                <w:color w:val="000000"/>
                <w:sz w:val="18"/>
                <w:szCs w:val="18"/>
                <w:lang w:val="en-US"/>
              </w:rPr>
              <w:t xml:space="preserve"> </w:t>
            </w:r>
            <w:r w:rsidRPr="00776CF7">
              <w:rPr>
                <w:rFonts w:cs="Arial"/>
                <w:color w:val="000000"/>
                <w:sz w:val="18"/>
                <w:szCs w:val="18"/>
                <w:lang w:val="en-US"/>
              </w:rPr>
              <w:t>044</w:t>
            </w:r>
          </w:p>
        </w:tc>
        <w:tc>
          <w:tcPr>
            <w:tcW w:w="2160" w:type="dxa"/>
            <w:shd w:val="clear" w:color="auto" w:fill="auto"/>
            <w:noWrap/>
            <w:vAlign w:val="bottom"/>
            <w:hideMark/>
          </w:tcPr>
          <w:p w:rsidR="00793CE2" w:rsidRPr="00776CF7" w:rsidRDefault="00793CE2" w:rsidP="00776CF7">
            <w:pPr>
              <w:jc w:val="center"/>
              <w:rPr>
                <w:rFonts w:cs="Arial"/>
                <w:color w:val="000000"/>
                <w:sz w:val="18"/>
                <w:szCs w:val="18"/>
                <w:lang w:val="en-US"/>
              </w:rPr>
            </w:pPr>
            <w:r w:rsidRPr="00776CF7">
              <w:rPr>
                <w:rFonts w:cs="Arial"/>
                <w:color w:val="000000"/>
                <w:sz w:val="18"/>
                <w:szCs w:val="18"/>
                <w:lang w:val="en-US"/>
              </w:rPr>
              <w:t>7</w:t>
            </w:r>
            <w:r w:rsidR="00776CF7">
              <w:rPr>
                <w:rFonts w:cs="Arial"/>
                <w:color w:val="000000"/>
                <w:sz w:val="18"/>
                <w:szCs w:val="18"/>
                <w:lang w:val="en-US"/>
              </w:rPr>
              <w:t xml:space="preserve"> </w:t>
            </w:r>
            <w:r w:rsidRPr="00776CF7">
              <w:rPr>
                <w:rFonts w:cs="Arial"/>
                <w:color w:val="000000"/>
                <w:sz w:val="18"/>
                <w:szCs w:val="18"/>
                <w:lang w:val="en-US"/>
              </w:rPr>
              <w:t>907</w:t>
            </w:r>
          </w:p>
        </w:tc>
      </w:tr>
    </w:tbl>
    <w:p w:rsidR="00793CE2" w:rsidRDefault="008B7ACD" w:rsidP="00793CE2">
      <w:pPr>
        <w:rPr>
          <w:sz w:val="20"/>
          <w:szCs w:val="20"/>
        </w:rPr>
      </w:pPr>
      <w:r w:rsidRPr="004777AC">
        <w:rPr>
          <w:rFonts w:cs="Arial"/>
          <w:iCs/>
          <w:sz w:val="20"/>
          <w:szCs w:val="20"/>
        </w:rPr>
        <w:t>Source: ITC TradeMap, 2011.</w:t>
      </w:r>
    </w:p>
    <w:p w:rsidR="008B7ACD" w:rsidRPr="00790E9C" w:rsidRDefault="008B7ACD" w:rsidP="00793CE2">
      <w:pPr>
        <w:rPr>
          <w:sz w:val="20"/>
          <w:szCs w:val="20"/>
        </w:rPr>
      </w:pPr>
    </w:p>
    <w:p w:rsidR="00793CE2" w:rsidRDefault="00790E9C" w:rsidP="003A31A0">
      <w:pPr>
        <w:jc w:val="both"/>
        <w:rPr>
          <w:sz w:val="20"/>
          <w:szCs w:val="20"/>
        </w:rPr>
      </w:pPr>
      <w:r w:rsidRPr="00790E9C">
        <w:rPr>
          <w:sz w:val="20"/>
          <w:szCs w:val="20"/>
        </w:rPr>
        <w:t>UK sunflower oil imports from the world</w:t>
      </w:r>
      <w:r>
        <w:rPr>
          <w:sz w:val="20"/>
          <w:szCs w:val="20"/>
        </w:rPr>
        <w:t xml:space="preserve"> grew by 40 % per annum in value from 2005 to 2009 and 19 % per annum in quantity.  Sunflower oil imports from France in value grew by 56 % per annum</w:t>
      </w:r>
      <w:r w:rsidR="003A31A0">
        <w:rPr>
          <w:sz w:val="20"/>
          <w:szCs w:val="20"/>
        </w:rPr>
        <w:t>,</w:t>
      </w:r>
      <w:r>
        <w:rPr>
          <w:sz w:val="20"/>
          <w:szCs w:val="20"/>
        </w:rPr>
        <w:t xml:space="preserve"> indicating that France is gaining market share.  Sunflower oil imports from the Netherlands, Belgium</w:t>
      </w:r>
      <w:r w:rsidR="003A31A0">
        <w:rPr>
          <w:sz w:val="20"/>
          <w:szCs w:val="20"/>
        </w:rPr>
        <w:t xml:space="preserve"> and Germany grew in value terms per annum from 2005 to 2009 by 31 %, 4 % and  54 %, respectively.  It can therefore be concluded that Germany is gaining market share while the Netherlands and Belgium is losing market share.  The import growth in value for imports for Argentina for the period 2005 to 2009 was not available. </w:t>
      </w:r>
    </w:p>
    <w:p w:rsidR="003A31A0" w:rsidRDefault="003A31A0" w:rsidP="003A31A0">
      <w:pPr>
        <w:jc w:val="both"/>
        <w:rPr>
          <w:sz w:val="20"/>
          <w:szCs w:val="20"/>
        </w:rPr>
      </w:pPr>
    </w:p>
    <w:p w:rsidR="003A31A0" w:rsidRPr="00790E9C" w:rsidRDefault="003A31A0" w:rsidP="003A31A0">
      <w:pPr>
        <w:jc w:val="both"/>
        <w:rPr>
          <w:sz w:val="20"/>
          <w:szCs w:val="20"/>
        </w:rPr>
      </w:pPr>
      <w:r>
        <w:rPr>
          <w:sz w:val="20"/>
          <w:szCs w:val="20"/>
        </w:rPr>
        <w:t xml:space="preserve">The unit values for France is US$ 1383 / ton is higher than the unit value for the </w:t>
      </w:r>
      <w:r w:rsidR="00321A25">
        <w:rPr>
          <w:sz w:val="20"/>
          <w:szCs w:val="20"/>
        </w:rPr>
        <w:t xml:space="preserve">second and third largest supplying countries.  The unit value for the Netherlands and Belgium is US$ 1364 / ton and US$ 1350 / ton respectively.  Argentina has the lowest un it value of US$ 1221 / ton and Germany has the highest unit value of US$ 1523 / ton of the five largest suppliers to the UK.  Since South Africa is not currently exporting to the UK makes it difficult to compare unit values with the supplying counties. </w:t>
      </w:r>
    </w:p>
    <w:p w:rsidR="00793CE2" w:rsidRPr="00790E9C" w:rsidRDefault="00793CE2" w:rsidP="003A31A0">
      <w:pPr>
        <w:jc w:val="both"/>
        <w:rPr>
          <w:sz w:val="20"/>
          <w:szCs w:val="20"/>
        </w:rPr>
      </w:pPr>
    </w:p>
    <w:p w:rsidR="00793CE2" w:rsidRPr="00790E9C" w:rsidRDefault="00A96571" w:rsidP="00A96571">
      <w:pPr>
        <w:jc w:val="both"/>
        <w:rPr>
          <w:sz w:val="20"/>
          <w:szCs w:val="20"/>
        </w:rPr>
      </w:pPr>
      <w:r>
        <w:rPr>
          <w:sz w:val="20"/>
          <w:szCs w:val="20"/>
        </w:rPr>
        <w:t>Four of the five largest supplying countries to the UK is European countries, these countries are located closer to the UK and they are part of the Euro-zone making it much cheaper for them to export to the UK.  Argentina on the other hand is much farther away from the UK than South Africa.  This might count in South Africa’s favour in terms of less carbon emissions when the oil is shipped.</w:t>
      </w:r>
    </w:p>
    <w:p w:rsidR="00793CE2" w:rsidRPr="00790E9C" w:rsidRDefault="00793CE2" w:rsidP="00A96571">
      <w:pPr>
        <w:jc w:val="both"/>
        <w:rPr>
          <w:sz w:val="20"/>
          <w:szCs w:val="20"/>
        </w:rPr>
      </w:pPr>
    </w:p>
    <w:p w:rsidR="00793CE2" w:rsidRPr="00790E9C" w:rsidRDefault="00793CE2" w:rsidP="00793CE2">
      <w:pPr>
        <w:rPr>
          <w:sz w:val="20"/>
          <w:szCs w:val="20"/>
        </w:rPr>
      </w:pPr>
    </w:p>
    <w:p w:rsidR="00793CE2" w:rsidRPr="00790E9C" w:rsidRDefault="00793CE2" w:rsidP="00793CE2">
      <w:pPr>
        <w:rPr>
          <w:sz w:val="20"/>
          <w:szCs w:val="20"/>
        </w:rPr>
      </w:pPr>
    </w:p>
    <w:p w:rsidR="00793CE2" w:rsidRPr="00790E9C" w:rsidRDefault="00793CE2" w:rsidP="00793CE2">
      <w:pPr>
        <w:rPr>
          <w:sz w:val="20"/>
          <w:szCs w:val="20"/>
        </w:rPr>
      </w:pPr>
    </w:p>
    <w:p w:rsidR="00793CE2" w:rsidRPr="00790E9C" w:rsidRDefault="00793CE2" w:rsidP="00793CE2">
      <w:pPr>
        <w:rPr>
          <w:sz w:val="20"/>
          <w:szCs w:val="20"/>
        </w:rPr>
      </w:pPr>
    </w:p>
    <w:p w:rsidR="00002BEE" w:rsidRPr="000D562F" w:rsidRDefault="00002BEE">
      <w:pPr>
        <w:jc w:val="both"/>
        <w:rPr>
          <w:rFonts w:cs="Arial"/>
          <w:sz w:val="20"/>
          <w:szCs w:val="20"/>
        </w:rPr>
      </w:pPr>
    </w:p>
    <w:p w:rsidR="00B5199B" w:rsidRPr="000D562F" w:rsidRDefault="00B5199B">
      <w:pPr>
        <w:jc w:val="both"/>
        <w:rPr>
          <w:rFonts w:cs="Arial"/>
          <w:sz w:val="20"/>
          <w:szCs w:val="20"/>
        </w:rPr>
      </w:pPr>
    </w:p>
    <w:p w:rsidR="00B5199B" w:rsidRPr="000D562F" w:rsidRDefault="00B5199B">
      <w:pPr>
        <w:jc w:val="both"/>
        <w:rPr>
          <w:rFonts w:cs="Arial"/>
          <w:sz w:val="20"/>
          <w:szCs w:val="20"/>
        </w:rPr>
        <w:sectPr w:rsidR="00B5199B" w:rsidRPr="000D562F" w:rsidSect="00C65C51">
          <w:footerReference w:type="default" r:id="rId19"/>
          <w:pgSz w:w="12240" w:h="15840"/>
          <w:pgMar w:top="1418" w:right="1418" w:bottom="1418" w:left="1418" w:header="720" w:footer="720" w:gutter="0"/>
          <w:cols w:space="720" w:equalWidth="0">
            <w:col w:w="9022" w:space="720"/>
          </w:cols>
          <w:docGrid w:linePitch="360"/>
        </w:sectPr>
      </w:pPr>
    </w:p>
    <w:p w:rsidR="006C3289" w:rsidRPr="000D562F" w:rsidRDefault="00235D21">
      <w:pPr>
        <w:pStyle w:val="Heading1"/>
        <w:pBdr>
          <w:top w:val="single" w:sz="4" w:space="1" w:color="auto"/>
          <w:bottom w:val="single" w:sz="4" w:space="1" w:color="auto"/>
        </w:pBdr>
        <w:jc w:val="center"/>
        <w:rPr>
          <w:sz w:val="20"/>
          <w:szCs w:val="20"/>
        </w:rPr>
      </w:pPr>
      <w:bookmarkStart w:id="17" w:name="_Toc290627300"/>
      <w:r w:rsidRPr="000D562F">
        <w:rPr>
          <w:sz w:val="20"/>
          <w:szCs w:val="20"/>
        </w:rPr>
        <w:lastRenderedPageBreak/>
        <w:t xml:space="preserve">C. </w:t>
      </w:r>
      <w:r w:rsidR="004422E1" w:rsidRPr="000D562F">
        <w:rPr>
          <w:sz w:val="20"/>
          <w:szCs w:val="20"/>
        </w:rPr>
        <w:t>Panorama</w:t>
      </w:r>
      <w:bookmarkEnd w:id="17"/>
    </w:p>
    <w:p w:rsidR="006C3289" w:rsidRPr="002F18BD" w:rsidRDefault="006C3289">
      <w:pPr>
        <w:jc w:val="both"/>
        <w:rPr>
          <w:rFonts w:cs="Arial"/>
          <w:sz w:val="20"/>
          <w:szCs w:val="20"/>
        </w:rPr>
      </w:pPr>
    </w:p>
    <w:p w:rsidR="004422E1" w:rsidRPr="002F18BD" w:rsidRDefault="00EB12D8" w:rsidP="00EB12D8">
      <w:pPr>
        <w:jc w:val="both"/>
        <w:rPr>
          <w:sz w:val="20"/>
          <w:szCs w:val="20"/>
        </w:rPr>
      </w:pPr>
      <w:r>
        <w:rPr>
          <w:sz w:val="20"/>
          <w:szCs w:val="20"/>
        </w:rPr>
        <w:t>M</w:t>
      </w:r>
      <w:r w:rsidR="004422E1" w:rsidRPr="002F18BD">
        <w:rPr>
          <w:sz w:val="20"/>
          <w:szCs w:val="20"/>
        </w:rPr>
        <w:t>acro-</w:t>
      </w:r>
      <w:r w:rsidR="002F18BD" w:rsidRPr="002F18BD">
        <w:rPr>
          <w:sz w:val="20"/>
          <w:szCs w:val="20"/>
        </w:rPr>
        <w:t>economic information about the UK</w:t>
      </w:r>
      <w:r w:rsidR="004422E1" w:rsidRPr="002F18BD">
        <w:rPr>
          <w:sz w:val="20"/>
          <w:szCs w:val="20"/>
        </w:rPr>
        <w:t xml:space="preserve"> following the PEST factors analysis</w:t>
      </w:r>
      <w:r>
        <w:rPr>
          <w:sz w:val="20"/>
          <w:szCs w:val="20"/>
        </w:rPr>
        <w:t xml:space="preserve"> will now be disc</w:t>
      </w:r>
      <w:r w:rsidR="002F18BD" w:rsidRPr="002F18BD">
        <w:rPr>
          <w:sz w:val="20"/>
          <w:szCs w:val="20"/>
        </w:rPr>
        <w:t>u</w:t>
      </w:r>
      <w:r>
        <w:rPr>
          <w:sz w:val="20"/>
          <w:szCs w:val="20"/>
        </w:rPr>
        <w:t>s</w:t>
      </w:r>
      <w:r w:rsidR="002F18BD" w:rsidRPr="002F18BD">
        <w:rPr>
          <w:sz w:val="20"/>
          <w:szCs w:val="20"/>
        </w:rPr>
        <w:t>sed.</w:t>
      </w:r>
    </w:p>
    <w:p w:rsidR="008B3354" w:rsidRPr="00EB12D8" w:rsidRDefault="004422E1" w:rsidP="002F18BD">
      <w:pPr>
        <w:pStyle w:val="Heading4"/>
        <w:jc w:val="both"/>
        <w:rPr>
          <w:b w:val="0"/>
          <w:sz w:val="20"/>
          <w:szCs w:val="20"/>
        </w:rPr>
      </w:pPr>
      <w:r w:rsidRPr="00EB12D8">
        <w:rPr>
          <w:b w:val="0"/>
          <w:sz w:val="20"/>
          <w:szCs w:val="20"/>
          <w:u w:val="single"/>
        </w:rPr>
        <w:t>Political factors</w:t>
      </w:r>
      <w:r w:rsidR="008B3354" w:rsidRPr="00EB12D8">
        <w:rPr>
          <w:b w:val="0"/>
          <w:sz w:val="20"/>
          <w:szCs w:val="20"/>
        </w:rPr>
        <w:t xml:space="preserve"> </w:t>
      </w:r>
    </w:p>
    <w:p w:rsidR="004422E1" w:rsidRPr="00EB12D8" w:rsidRDefault="009D27AE" w:rsidP="002F18BD">
      <w:pPr>
        <w:pStyle w:val="TableContents"/>
        <w:snapToGrid w:val="0"/>
        <w:jc w:val="both"/>
        <w:rPr>
          <w:rFonts w:ascii="Arial" w:eastAsia="Times New Roman" w:hAnsi="Arial" w:cs="Arial"/>
          <w:bCs/>
          <w:sz w:val="20"/>
          <w:szCs w:val="20"/>
        </w:rPr>
      </w:pPr>
      <w:r w:rsidRPr="00EB12D8">
        <w:rPr>
          <w:rFonts w:ascii="Arial" w:hAnsi="Arial" w:cs="Arial"/>
          <w:sz w:val="20"/>
          <w:szCs w:val="20"/>
        </w:rPr>
        <w:t>The UK is a multi-party system and since the 1920s, the two largest political parties have been the Conservative Party and the Labour Party. As a result of negotiations following the election, they entered a formal coalition with the Liberal Democrats to form a majority government.</w:t>
      </w:r>
      <w:r w:rsidRPr="00EB12D8">
        <w:rPr>
          <w:rFonts w:ascii="Arial" w:eastAsia="Times New Roman" w:hAnsi="Arial" w:cs="Arial"/>
          <w:bCs/>
          <w:sz w:val="20"/>
          <w:szCs w:val="20"/>
        </w:rPr>
        <w:t xml:space="preserve"> </w:t>
      </w:r>
      <w:r w:rsidR="0009100E" w:rsidRPr="00EB12D8">
        <w:rPr>
          <w:rFonts w:ascii="Arial" w:hAnsi="Arial" w:cs="Arial"/>
          <w:sz w:val="20"/>
          <w:szCs w:val="20"/>
        </w:rPr>
        <w:t>As one of five permanent members of the UN Security Council, a founding member of NATO, and of the Commonwealth, the UK pursues a global approach to foreign policy. The UK is also an active member of the EU, although it chose to remain outside t</w:t>
      </w:r>
      <w:r w:rsidR="004B483D">
        <w:rPr>
          <w:rFonts w:ascii="Arial" w:hAnsi="Arial" w:cs="Arial"/>
          <w:sz w:val="20"/>
          <w:szCs w:val="20"/>
        </w:rPr>
        <w:t>he Economic and Monetary Union</w:t>
      </w:r>
      <w:r w:rsidR="0009100E" w:rsidRPr="00EB12D8">
        <w:rPr>
          <w:rFonts w:ascii="Arial" w:eastAsia="Times New Roman" w:hAnsi="Arial" w:cs="Arial"/>
          <w:sz w:val="20"/>
          <w:szCs w:val="20"/>
        </w:rPr>
        <w:t xml:space="preserve">. </w:t>
      </w:r>
      <w:r w:rsidR="0009100E" w:rsidRPr="00EB12D8">
        <w:rPr>
          <w:rFonts w:ascii="Arial" w:hAnsi="Arial" w:cs="Arial"/>
          <w:sz w:val="20"/>
          <w:szCs w:val="20"/>
        </w:rPr>
        <w:t>Political pressure groups include the Confederation of British Industry, the National Farmers' Union and the Trades Union Congress (</w:t>
      </w:r>
      <w:r w:rsidR="0009100E" w:rsidRPr="00EB12D8">
        <w:rPr>
          <w:rFonts w:ascii="Arial" w:eastAsia="Times New Roman" w:hAnsi="Arial" w:cs="Arial"/>
          <w:sz w:val="20"/>
          <w:szCs w:val="20"/>
        </w:rPr>
        <w:t xml:space="preserve">CIA World Factbook, 2011). </w:t>
      </w:r>
    </w:p>
    <w:p w:rsidR="004422E1" w:rsidRPr="00EB12D8" w:rsidRDefault="004422E1" w:rsidP="002F18BD">
      <w:pPr>
        <w:pStyle w:val="Heading4"/>
        <w:snapToGrid w:val="0"/>
        <w:jc w:val="both"/>
        <w:rPr>
          <w:b w:val="0"/>
          <w:sz w:val="20"/>
          <w:szCs w:val="20"/>
        </w:rPr>
      </w:pPr>
      <w:r w:rsidRPr="00EB12D8">
        <w:rPr>
          <w:b w:val="0"/>
          <w:sz w:val="20"/>
          <w:szCs w:val="20"/>
          <w:u w:val="single"/>
        </w:rPr>
        <w:t>Economic factors</w:t>
      </w:r>
      <w:r w:rsidRPr="00EB12D8">
        <w:rPr>
          <w:b w:val="0"/>
          <w:sz w:val="20"/>
          <w:szCs w:val="20"/>
        </w:rPr>
        <w:t xml:space="preserve"> </w:t>
      </w:r>
    </w:p>
    <w:p w:rsidR="00DA4E26" w:rsidRPr="00EB12D8" w:rsidRDefault="00ED0310" w:rsidP="002F18BD">
      <w:pPr>
        <w:pStyle w:val="TableContents"/>
        <w:snapToGrid w:val="0"/>
        <w:jc w:val="both"/>
        <w:rPr>
          <w:rFonts w:ascii="Arial" w:eastAsia="Times New Roman" w:hAnsi="Arial" w:cs="Arial"/>
          <w:b/>
          <w:bCs/>
          <w:sz w:val="20"/>
          <w:szCs w:val="20"/>
        </w:rPr>
      </w:pPr>
      <w:r w:rsidRPr="00EB12D8">
        <w:rPr>
          <w:rFonts w:ascii="Arial" w:hAnsi="Arial" w:cs="Arial"/>
          <w:sz w:val="20"/>
          <w:szCs w:val="20"/>
        </w:rPr>
        <w:t>The UK is a developed country, with the world's ninth largest economy by purchasing power parity and growing by 1.5% above inflation during 201</w:t>
      </w:r>
      <w:r w:rsidRPr="00EB12D8">
        <w:rPr>
          <w:rFonts w:ascii="Arial" w:eastAsia="Times New Roman" w:hAnsi="Arial" w:cs="Arial"/>
          <w:b/>
          <w:bCs/>
          <w:sz w:val="20"/>
          <w:szCs w:val="20"/>
        </w:rPr>
        <w:t>0</w:t>
      </w:r>
      <w:r w:rsidR="007644B9" w:rsidRPr="00EB12D8">
        <w:rPr>
          <w:rFonts w:ascii="Arial" w:eastAsia="Times New Roman" w:hAnsi="Arial" w:cs="Arial"/>
          <w:b/>
          <w:bCs/>
          <w:sz w:val="20"/>
          <w:szCs w:val="20"/>
        </w:rPr>
        <w:t xml:space="preserve">. </w:t>
      </w:r>
      <w:r w:rsidRPr="00EB12D8">
        <w:rPr>
          <w:rFonts w:ascii="Arial" w:hAnsi="Arial" w:cs="Arial"/>
          <w:sz w:val="20"/>
          <w:szCs w:val="20"/>
        </w:rPr>
        <w:t>The UK</w:t>
      </w:r>
      <w:r w:rsidR="007644B9" w:rsidRPr="00EB12D8">
        <w:rPr>
          <w:rFonts w:ascii="Arial" w:hAnsi="Arial" w:cs="Arial"/>
          <w:sz w:val="20"/>
          <w:szCs w:val="20"/>
        </w:rPr>
        <w:t xml:space="preserve"> is also a </w:t>
      </w:r>
      <w:r w:rsidRPr="00EB12D8">
        <w:rPr>
          <w:rFonts w:ascii="Arial" w:hAnsi="Arial" w:cs="Arial"/>
          <w:sz w:val="20"/>
          <w:szCs w:val="20"/>
        </w:rPr>
        <w:t>leading trad</w:t>
      </w:r>
      <w:r w:rsidR="007644B9" w:rsidRPr="00EB12D8">
        <w:rPr>
          <w:rFonts w:ascii="Arial" w:hAnsi="Arial" w:cs="Arial"/>
          <w:sz w:val="20"/>
          <w:szCs w:val="20"/>
        </w:rPr>
        <w:t xml:space="preserve">ing power and financial center as well as </w:t>
      </w:r>
      <w:r w:rsidRPr="00EB12D8">
        <w:rPr>
          <w:rFonts w:ascii="Arial" w:hAnsi="Arial" w:cs="Arial"/>
          <w:sz w:val="20"/>
          <w:szCs w:val="20"/>
        </w:rPr>
        <w:t>the third largest economy in Europe after Germany and France</w:t>
      </w:r>
      <w:r w:rsidR="007644B9" w:rsidRPr="00EB12D8">
        <w:rPr>
          <w:rFonts w:ascii="Arial" w:hAnsi="Arial" w:cs="Arial"/>
          <w:sz w:val="20"/>
          <w:szCs w:val="20"/>
        </w:rPr>
        <w:t xml:space="preserve"> </w:t>
      </w:r>
      <w:r w:rsidR="007644B9" w:rsidRPr="003E0003">
        <w:rPr>
          <w:rFonts w:ascii="Arial" w:eastAsia="Times New Roman" w:hAnsi="Arial" w:cs="Arial"/>
          <w:bCs/>
          <w:sz w:val="20"/>
          <w:szCs w:val="20"/>
        </w:rPr>
        <w:t>(</w:t>
      </w:r>
      <w:r w:rsidRPr="003E0003">
        <w:rPr>
          <w:rFonts w:ascii="Arial" w:eastAsia="Times New Roman" w:hAnsi="Arial" w:cs="Arial"/>
          <w:bCs/>
          <w:sz w:val="20"/>
          <w:szCs w:val="20"/>
        </w:rPr>
        <w:t>CIA World Factbook, 2011</w:t>
      </w:r>
      <w:r w:rsidR="007644B9" w:rsidRPr="003E0003">
        <w:rPr>
          <w:rFonts w:ascii="Arial" w:eastAsia="Times New Roman" w:hAnsi="Arial" w:cs="Arial"/>
          <w:bCs/>
          <w:sz w:val="20"/>
          <w:szCs w:val="20"/>
        </w:rPr>
        <w:t>)</w:t>
      </w:r>
      <w:r w:rsidRPr="003E0003">
        <w:rPr>
          <w:rFonts w:ascii="Arial" w:eastAsia="Times New Roman" w:hAnsi="Arial" w:cs="Arial"/>
          <w:bCs/>
          <w:sz w:val="20"/>
          <w:szCs w:val="20"/>
        </w:rPr>
        <w:t xml:space="preserve">. </w:t>
      </w:r>
      <w:r w:rsidR="00896937" w:rsidRPr="003E0003">
        <w:rPr>
          <w:rFonts w:ascii="Arial" w:hAnsi="Arial" w:cs="Arial"/>
          <w:sz w:val="20"/>
          <w:szCs w:val="20"/>
        </w:rPr>
        <w:t>In 2008, the global financial crisis hit the economy particularly hard, due</w:t>
      </w:r>
      <w:r w:rsidR="00896937" w:rsidRPr="00EB12D8">
        <w:rPr>
          <w:rFonts w:ascii="Arial" w:hAnsi="Arial" w:cs="Arial"/>
          <w:sz w:val="20"/>
          <w:szCs w:val="20"/>
        </w:rPr>
        <w:t xml:space="preserve"> to the importance of its financial sector. Sharply declining home prices, high consumer debt, and the global economic slowdown compounded Britain's economic problems, pushing the economy into recession in the latter half of 2008</w:t>
      </w:r>
      <w:r w:rsidR="007644B9" w:rsidRPr="00EB12D8">
        <w:rPr>
          <w:rFonts w:ascii="Arial" w:hAnsi="Arial" w:cs="Arial"/>
          <w:sz w:val="20"/>
          <w:szCs w:val="20"/>
        </w:rPr>
        <w:t>, with the economic recovery only taking pla</w:t>
      </w:r>
      <w:r w:rsidR="00CE0E51" w:rsidRPr="00EB12D8">
        <w:rPr>
          <w:rFonts w:ascii="Arial" w:hAnsi="Arial" w:cs="Arial"/>
          <w:sz w:val="20"/>
          <w:szCs w:val="20"/>
        </w:rPr>
        <w:t>ce in the August</w:t>
      </w:r>
      <w:r w:rsidR="007644B9" w:rsidRPr="00EB12D8">
        <w:rPr>
          <w:rFonts w:ascii="Arial" w:hAnsi="Arial" w:cs="Arial"/>
          <w:sz w:val="20"/>
          <w:szCs w:val="20"/>
        </w:rPr>
        <w:t xml:space="preserve"> of 2009</w:t>
      </w:r>
      <w:r w:rsidR="00896937" w:rsidRPr="00EB12D8">
        <w:rPr>
          <w:rFonts w:ascii="Arial" w:hAnsi="Arial" w:cs="Arial"/>
          <w:sz w:val="20"/>
          <w:szCs w:val="20"/>
        </w:rPr>
        <w:t>.</w:t>
      </w:r>
      <w:r w:rsidR="00CE0E51" w:rsidRPr="00EB12D8">
        <w:rPr>
          <w:rFonts w:ascii="Arial" w:hAnsi="Arial" w:cs="Arial"/>
          <w:sz w:val="20"/>
          <w:szCs w:val="20"/>
        </w:rPr>
        <w:t xml:space="preserve"> Value added taxes have increased to 20% in January 2011.</w:t>
      </w:r>
      <w:r w:rsidR="00896937" w:rsidRPr="00EB12D8">
        <w:rPr>
          <w:rFonts w:ascii="Arial" w:hAnsi="Arial" w:cs="Arial"/>
          <w:sz w:val="20"/>
          <w:szCs w:val="20"/>
        </w:rPr>
        <w:t xml:space="preserve"> </w:t>
      </w:r>
    </w:p>
    <w:p w:rsidR="004422E1" w:rsidRPr="00EB12D8" w:rsidRDefault="004422E1" w:rsidP="002F18BD">
      <w:pPr>
        <w:pStyle w:val="Heading4"/>
        <w:jc w:val="both"/>
        <w:rPr>
          <w:b w:val="0"/>
          <w:sz w:val="20"/>
          <w:szCs w:val="20"/>
        </w:rPr>
      </w:pPr>
      <w:r w:rsidRPr="00EB12D8">
        <w:rPr>
          <w:b w:val="0"/>
          <w:sz w:val="20"/>
          <w:szCs w:val="20"/>
          <w:u w:val="single"/>
        </w:rPr>
        <w:t>Social factors</w:t>
      </w:r>
      <w:r w:rsidRPr="00EB12D8">
        <w:rPr>
          <w:b w:val="0"/>
          <w:sz w:val="20"/>
          <w:szCs w:val="20"/>
        </w:rPr>
        <w:t xml:space="preserve"> </w:t>
      </w:r>
    </w:p>
    <w:p w:rsidR="00CE0E51" w:rsidRPr="00EB12D8" w:rsidRDefault="00A672E7" w:rsidP="002F18BD">
      <w:pPr>
        <w:pStyle w:val="Heading4"/>
        <w:jc w:val="both"/>
        <w:rPr>
          <w:b w:val="0"/>
          <w:sz w:val="20"/>
          <w:szCs w:val="20"/>
        </w:rPr>
      </w:pPr>
      <w:r w:rsidRPr="00EB12D8">
        <w:rPr>
          <w:b w:val="0"/>
          <w:sz w:val="20"/>
          <w:szCs w:val="20"/>
        </w:rPr>
        <w:t>From 2010,</w:t>
      </w:r>
      <w:r w:rsidR="00CE0E51" w:rsidRPr="00EB12D8">
        <w:rPr>
          <w:b w:val="0"/>
          <w:sz w:val="20"/>
          <w:szCs w:val="20"/>
        </w:rPr>
        <w:t xml:space="preserve"> the UK population </w:t>
      </w:r>
      <w:r w:rsidRPr="00EB12D8">
        <w:rPr>
          <w:b w:val="0"/>
          <w:sz w:val="20"/>
          <w:szCs w:val="20"/>
        </w:rPr>
        <w:t xml:space="preserve">has grown by 0.55% to an </w:t>
      </w:r>
      <w:r w:rsidR="00CE0E51" w:rsidRPr="00EB12D8">
        <w:rPr>
          <w:b w:val="0"/>
          <w:sz w:val="20"/>
          <w:szCs w:val="20"/>
        </w:rPr>
        <w:t>estimated 62.6 million people</w:t>
      </w:r>
      <w:r w:rsidRPr="00EB12D8">
        <w:rPr>
          <w:b w:val="0"/>
          <w:sz w:val="20"/>
          <w:szCs w:val="20"/>
        </w:rPr>
        <w:t xml:space="preserve">  in 2011 </w:t>
      </w:r>
      <w:r w:rsidRPr="00EB12D8">
        <w:rPr>
          <w:b w:val="0"/>
          <w:bCs w:val="0"/>
          <w:sz w:val="20"/>
          <w:szCs w:val="20"/>
        </w:rPr>
        <w:t xml:space="preserve">(CIA World Factbook, 2011). The urban population represents 80% of the total population, and is expected to grow 0.7% each year until 2015. London, </w:t>
      </w:r>
      <w:r w:rsidR="00CC4A1B" w:rsidRPr="00EB12D8">
        <w:rPr>
          <w:b w:val="0"/>
          <w:bCs w:val="0"/>
          <w:sz w:val="20"/>
          <w:szCs w:val="20"/>
        </w:rPr>
        <w:t xml:space="preserve">Birmingham and </w:t>
      </w:r>
      <w:r w:rsidR="007A4C75" w:rsidRPr="00EB12D8">
        <w:rPr>
          <w:b w:val="0"/>
          <w:bCs w:val="0"/>
          <w:sz w:val="20"/>
          <w:szCs w:val="20"/>
        </w:rPr>
        <w:t>Glasgow</w:t>
      </w:r>
      <w:r w:rsidR="00CC4A1B" w:rsidRPr="00EB12D8">
        <w:rPr>
          <w:b w:val="0"/>
          <w:bCs w:val="0"/>
          <w:sz w:val="20"/>
          <w:szCs w:val="20"/>
        </w:rPr>
        <w:t xml:space="preserve"> are the largest cities in the UK. Growing consumer demand for healthier products have spurred producers to focus on offering healthier products to consumers (Euromonitor, 2010) </w:t>
      </w:r>
    </w:p>
    <w:p w:rsidR="004422E1" w:rsidRPr="00EB12D8" w:rsidRDefault="004422E1" w:rsidP="002F18BD">
      <w:pPr>
        <w:pStyle w:val="Heading4"/>
        <w:jc w:val="both"/>
        <w:rPr>
          <w:b w:val="0"/>
          <w:sz w:val="20"/>
          <w:szCs w:val="20"/>
        </w:rPr>
      </w:pPr>
      <w:r w:rsidRPr="00EB12D8">
        <w:rPr>
          <w:b w:val="0"/>
          <w:sz w:val="20"/>
          <w:szCs w:val="20"/>
          <w:u w:val="single"/>
        </w:rPr>
        <w:t>Technological factors</w:t>
      </w:r>
      <w:r w:rsidRPr="00EB12D8">
        <w:rPr>
          <w:b w:val="0"/>
          <w:sz w:val="20"/>
          <w:szCs w:val="20"/>
        </w:rPr>
        <w:t xml:space="preserve"> </w:t>
      </w:r>
    </w:p>
    <w:p w:rsidR="003460C2" w:rsidRPr="00541458" w:rsidRDefault="003460C2" w:rsidP="002F18BD">
      <w:pPr>
        <w:pStyle w:val="Heading4"/>
        <w:jc w:val="both"/>
        <w:rPr>
          <w:b w:val="0"/>
          <w:color w:val="4F81BD" w:themeColor="accent1"/>
          <w:sz w:val="20"/>
          <w:szCs w:val="20"/>
        </w:rPr>
      </w:pPr>
      <w:r w:rsidRPr="008B3354">
        <w:rPr>
          <w:b w:val="0"/>
          <w:sz w:val="20"/>
          <w:szCs w:val="20"/>
        </w:rPr>
        <w:t>In 2006, it was reported that the UK provide</w:t>
      </w:r>
      <w:r w:rsidR="008B3354">
        <w:rPr>
          <w:b w:val="0"/>
          <w:sz w:val="20"/>
          <w:szCs w:val="20"/>
        </w:rPr>
        <w:t>d</w:t>
      </w:r>
      <w:r w:rsidR="00541458" w:rsidRPr="008B3354">
        <w:rPr>
          <w:b w:val="0"/>
          <w:sz w:val="20"/>
          <w:szCs w:val="20"/>
        </w:rPr>
        <w:t xml:space="preserve"> </w:t>
      </w:r>
      <w:r w:rsidRPr="008B3354">
        <w:rPr>
          <w:b w:val="0"/>
          <w:sz w:val="20"/>
          <w:szCs w:val="20"/>
        </w:rPr>
        <w:t>9 percent of the</w:t>
      </w:r>
      <w:r w:rsidR="008B3354">
        <w:rPr>
          <w:b w:val="0"/>
          <w:sz w:val="20"/>
          <w:szCs w:val="20"/>
        </w:rPr>
        <w:t xml:space="preserve"> </w:t>
      </w:r>
      <w:r w:rsidRPr="008B3354">
        <w:rPr>
          <w:b w:val="0"/>
          <w:sz w:val="20"/>
          <w:szCs w:val="20"/>
        </w:rPr>
        <w:t>world's scientific research paper</w:t>
      </w:r>
      <w:r w:rsidR="008B3354">
        <w:rPr>
          <w:b w:val="0"/>
          <w:sz w:val="20"/>
          <w:szCs w:val="20"/>
        </w:rPr>
        <w:t>s and a 12 per cent share of citations, the second</w:t>
      </w:r>
      <w:r w:rsidR="00541458" w:rsidRPr="008B3354">
        <w:rPr>
          <w:b w:val="0"/>
          <w:sz w:val="20"/>
          <w:szCs w:val="20"/>
        </w:rPr>
        <w:t xml:space="preserve"> </w:t>
      </w:r>
      <w:r w:rsidRPr="008B3354">
        <w:rPr>
          <w:b w:val="0"/>
          <w:sz w:val="20"/>
          <w:szCs w:val="20"/>
        </w:rPr>
        <w:t>highest in the world after the US</w:t>
      </w:r>
      <w:r w:rsidR="007A4C75" w:rsidRPr="008B3354">
        <w:rPr>
          <w:b w:val="0"/>
          <w:sz w:val="20"/>
          <w:szCs w:val="20"/>
          <w:lang w:val="en-ZA"/>
        </w:rPr>
        <w:t xml:space="preserve"> </w:t>
      </w:r>
      <w:r w:rsidRPr="008B3354">
        <w:rPr>
          <w:rStyle w:val="Hyperlink"/>
          <w:b w:val="0"/>
          <w:sz w:val="20"/>
          <w:szCs w:val="20"/>
          <w:lang w:val="en-ZA"/>
        </w:rPr>
        <w:t>(</w:t>
      </w:r>
      <w:r w:rsidRPr="008B3354">
        <w:rPr>
          <w:rStyle w:val="citation"/>
          <w:b w:val="0"/>
          <w:sz w:val="20"/>
          <w:szCs w:val="20"/>
        </w:rPr>
        <w:t>MacLeod,</w:t>
      </w:r>
      <w:r w:rsidR="007A4C75" w:rsidRPr="008B3354">
        <w:rPr>
          <w:rStyle w:val="citation"/>
          <w:b w:val="0"/>
          <w:sz w:val="20"/>
          <w:szCs w:val="20"/>
        </w:rPr>
        <w:t xml:space="preserve"> </w:t>
      </w:r>
      <w:r w:rsidRPr="008B3354">
        <w:rPr>
          <w:rStyle w:val="reference-accessdate"/>
          <w:b w:val="0"/>
          <w:sz w:val="20"/>
          <w:szCs w:val="20"/>
        </w:rPr>
        <w:t>2006</w:t>
      </w:r>
      <w:r w:rsidRPr="008B3354">
        <w:rPr>
          <w:rStyle w:val="citation"/>
          <w:b w:val="0"/>
          <w:sz w:val="20"/>
          <w:szCs w:val="20"/>
        </w:rPr>
        <w:t>).</w:t>
      </w:r>
      <w:r w:rsidR="00541458" w:rsidRPr="008B3354">
        <w:rPr>
          <w:rStyle w:val="citation"/>
          <w:b w:val="0"/>
          <w:sz w:val="20"/>
          <w:szCs w:val="20"/>
        </w:rPr>
        <w:t xml:space="preserve"> </w:t>
      </w:r>
      <w:r w:rsidRPr="008B3354">
        <w:rPr>
          <w:rStyle w:val="citation"/>
          <w:b w:val="0"/>
          <w:sz w:val="20"/>
          <w:szCs w:val="20"/>
        </w:rPr>
        <w:t xml:space="preserve">In 2009, </w:t>
      </w:r>
      <w:r w:rsidR="007A4C75" w:rsidRPr="008B3354">
        <w:rPr>
          <w:rStyle w:val="citation"/>
          <w:b w:val="0"/>
          <w:sz w:val="20"/>
          <w:szCs w:val="20"/>
        </w:rPr>
        <w:t xml:space="preserve">81.2% of the UK population </w:t>
      </w:r>
      <w:r w:rsidR="00D35BD8">
        <w:rPr>
          <w:rStyle w:val="citation"/>
          <w:b w:val="0"/>
          <w:sz w:val="20"/>
          <w:szCs w:val="20"/>
        </w:rPr>
        <w:t>had access to internet.</w:t>
      </w:r>
      <w:r w:rsidRPr="008B3354">
        <w:rPr>
          <w:rStyle w:val="citation"/>
          <w:b w:val="0"/>
          <w:sz w:val="20"/>
          <w:szCs w:val="20"/>
        </w:rPr>
        <w:t xml:space="preserve"> (CIA World Factbook, 2011</w:t>
      </w:r>
      <w:r w:rsidRPr="008B3354">
        <w:rPr>
          <w:rStyle w:val="citation"/>
          <w:b w:val="0"/>
          <w:color w:val="4F81BD" w:themeColor="accent1"/>
          <w:sz w:val="20"/>
          <w:szCs w:val="20"/>
        </w:rPr>
        <w:t>)</w:t>
      </w:r>
    </w:p>
    <w:p w:rsidR="000621CA" w:rsidRDefault="00EB12D8" w:rsidP="00EB12D8">
      <w:pPr>
        <w:pStyle w:val="Heading4"/>
        <w:jc w:val="center"/>
        <w:rPr>
          <w:b w:val="0"/>
          <w:color w:val="4F81BD" w:themeColor="accent1"/>
          <w:sz w:val="20"/>
          <w:szCs w:val="20"/>
        </w:rPr>
      </w:pPr>
      <w:r>
        <w:rPr>
          <w:b w:val="0"/>
          <w:noProof/>
          <w:color w:val="4F81BD" w:themeColor="accent1"/>
          <w:sz w:val="20"/>
          <w:szCs w:val="20"/>
          <w:lang w:val="en-US"/>
        </w:rPr>
        <w:drawing>
          <wp:inline distT="0" distB="0" distL="0" distR="0">
            <wp:extent cx="4230094" cy="246951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230795" cy="2469921"/>
                    </a:xfrm>
                    <a:prstGeom prst="rect">
                      <a:avLst/>
                    </a:prstGeom>
                    <a:noFill/>
                    <a:ln w="9525">
                      <a:noFill/>
                      <a:miter lim="800000"/>
                      <a:headEnd/>
                      <a:tailEnd/>
                    </a:ln>
                  </pic:spPr>
                </pic:pic>
              </a:graphicData>
            </a:graphic>
          </wp:inline>
        </w:drawing>
      </w:r>
    </w:p>
    <w:p w:rsidR="002F18BD" w:rsidRPr="008522A9" w:rsidRDefault="00C04E0D" w:rsidP="007A4C75">
      <w:pPr>
        <w:pStyle w:val="Heading4"/>
        <w:rPr>
          <w:b w:val="0"/>
          <w:sz w:val="20"/>
          <w:szCs w:val="20"/>
        </w:rPr>
      </w:pPr>
      <w:r>
        <w:rPr>
          <w:b w:val="0"/>
          <w:sz w:val="20"/>
          <w:szCs w:val="20"/>
        </w:rPr>
        <w:t>Figure 4</w:t>
      </w:r>
      <w:r w:rsidR="00EB12D8" w:rsidRPr="003E0003">
        <w:rPr>
          <w:b w:val="0"/>
          <w:sz w:val="20"/>
          <w:szCs w:val="20"/>
        </w:rPr>
        <w:t>:</w:t>
      </w:r>
      <w:r>
        <w:rPr>
          <w:b w:val="0"/>
          <w:sz w:val="20"/>
          <w:szCs w:val="20"/>
        </w:rPr>
        <w:t xml:space="preserve"> </w:t>
      </w:r>
      <w:r w:rsidR="00EB12D8" w:rsidRPr="003E0003">
        <w:rPr>
          <w:b w:val="0"/>
          <w:sz w:val="20"/>
          <w:szCs w:val="20"/>
        </w:rPr>
        <w:t xml:space="preserve"> Map of the United Kingdom (</w:t>
      </w:r>
      <w:r w:rsidR="003E0003" w:rsidRPr="003E0003">
        <w:rPr>
          <w:b w:val="0"/>
          <w:sz w:val="20"/>
          <w:szCs w:val="20"/>
        </w:rPr>
        <w:t>depicted in dark blue)</w:t>
      </w:r>
    </w:p>
    <w:p w:rsidR="002F18BD" w:rsidRDefault="002F18BD" w:rsidP="007A4C75">
      <w:pPr>
        <w:pStyle w:val="Heading4"/>
        <w:rPr>
          <w:b w:val="0"/>
          <w:color w:val="4F81BD" w:themeColor="accent1"/>
          <w:sz w:val="20"/>
          <w:szCs w:val="20"/>
        </w:rPr>
      </w:pPr>
    </w:p>
    <w:p w:rsidR="004422E1" w:rsidRPr="000D562F" w:rsidRDefault="00F647CC" w:rsidP="004422E1">
      <w:pPr>
        <w:pStyle w:val="Heading1"/>
        <w:pBdr>
          <w:top w:val="single" w:sz="4" w:space="1" w:color="auto"/>
          <w:bottom w:val="single" w:sz="4" w:space="1" w:color="auto"/>
        </w:pBdr>
        <w:jc w:val="center"/>
        <w:rPr>
          <w:sz w:val="20"/>
          <w:szCs w:val="20"/>
        </w:rPr>
      </w:pPr>
      <w:bookmarkStart w:id="18" w:name="_Toc290627301"/>
      <w:r w:rsidRPr="000D562F">
        <w:rPr>
          <w:sz w:val="20"/>
          <w:szCs w:val="20"/>
        </w:rPr>
        <w:t xml:space="preserve">D. </w:t>
      </w:r>
      <w:r w:rsidR="004422E1" w:rsidRPr="000D562F">
        <w:rPr>
          <w:sz w:val="20"/>
          <w:szCs w:val="20"/>
        </w:rPr>
        <w:t>People</w:t>
      </w:r>
      <w:bookmarkEnd w:id="18"/>
    </w:p>
    <w:p w:rsidR="003E0003" w:rsidRDefault="003E0003" w:rsidP="003E0003">
      <w:pPr>
        <w:tabs>
          <w:tab w:val="left" w:pos="1331"/>
        </w:tabs>
        <w:jc w:val="both"/>
        <w:rPr>
          <w:rFonts w:cs="Arial"/>
          <w:sz w:val="20"/>
          <w:szCs w:val="20"/>
          <w:lang w:val="en-ZA"/>
        </w:rPr>
      </w:pPr>
    </w:p>
    <w:p w:rsidR="003E0003" w:rsidRPr="003E0003" w:rsidRDefault="003E0003" w:rsidP="003E0003">
      <w:pPr>
        <w:tabs>
          <w:tab w:val="left" w:pos="1331"/>
        </w:tabs>
        <w:jc w:val="both"/>
        <w:rPr>
          <w:rFonts w:cs="Arial"/>
          <w:sz w:val="20"/>
          <w:szCs w:val="20"/>
          <w:lang w:val="en-ZA"/>
        </w:rPr>
      </w:pPr>
      <w:r w:rsidRPr="003E0003">
        <w:rPr>
          <w:rFonts w:cs="Arial"/>
          <w:sz w:val="20"/>
          <w:szCs w:val="20"/>
          <w:lang w:val="en-ZA"/>
        </w:rPr>
        <w:t>Our focus is on household users, but the buyer of our product is retailers, more specific major national retailers</w:t>
      </w:r>
      <w:r>
        <w:rPr>
          <w:rFonts w:cs="Arial"/>
          <w:sz w:val="20"/>
          <w:szCs w:val="20"/>
          <w:lang w:val="en-ZA"/>
        </w:rPr>
        <w:t xml:space="preserve">. </w:t>
      </w:r>
      <w:r w:rsidRPr="003E0003">
        <w:rPr>
          <w:rFonts w:cs="Arial"/>
          <w:sz w:val="20"/>
          <w:szCs w:val="20"/>
        </w:rPr>
        <w:t>The traditional main markets segments for vegetable oils and fats are the food markets and bio-diesel sectors.</w:t>
      </w:r>
      <w:r>
        <w:rPr>
          <w:rFonts w:cs="Arial"/>
          <w:sz w:val="20"/>
          <w:szCs w:val="20"/>
          <w:lang w:val="en-ZA"/>
        </w:rPr>
        <w:t xml:space="preserve"> </w:t>
      </w:r>
      <w:r w:rsidRPr="003E0003">
        <w:rPr>
          <w:rFonts w:cs="Arial"/>
          <w:sz w:val="20"/>
          <w:szCs w:val="20"/>
        </w:rPr>
        <w:t xml:space="preserve">Vegetable oils and fats are mainly used in liquid cooking oils, personal care products and a small amount in catering, biscuits and snacks. </w:t>
      </w:r>
    </w:p>
    <w:p w:rsidR="003E0003" w:rsidRPr="003E0003" w:rsidRDefault="003E0003" w:rsidP="003E0003">
      <w:pPr>
        <w:tabs>
          <w:tab w:val="left" w:pos="1331"/>
        </w:tabs>
        <w:jc w:val="both"/>
        <w:rPr>
          <w:rFonts w:cs="Arial"/>
          <w:sz w:val="20"/>
          <w:szCs w:val="20"/>
          <w:lang w:val="en-ZA"/>
        </w:rPr>
      </w:pPr>
    </w:p>
    <w:p w:rsidR="003E0003" w:rsidRPr="003E0003" w:rsidRDefault="003E0003" w:rsidP="003E0003">
      <w:pPr>
        <w:tabs>
          <w:tab w:val="left" w:pos="1331"/>
        </w:tabs>
        <w:jc w:val="both"/>
        <w:rPr>
          <w:rFonts w:cs="Arial"/>
          <w:sz w:val="20"/>
          <w:szCs w:val="20"/>
          <w:lang w:val="en-ZA"/>
        </w:rPr>
      </w:pPr>
      <w:r w:rsidRPr="003E0003">
        <w:rPr>
          <w:rFonts w:cs="Arial"/>
          <w:sz w:val="20"/>
          <w:szCs w:val="20"/>
          <w:lang w:val="en-ZA"/>
        </w:rPr>
        <w:t>The market segmentation for sunflower-seed oil is as follows:</w:t>
      </w:r>
    </w:p>
    <w:tbl>
      <w:tblPr>
        <w:tblStyle w:val="TableGrid"/>
        <w:tblW w:w="0" w:type="auto"/>
        <w:tblLook w:val="04A0"/>
      </w:tblPr>
      <w:tblGrid>
        <w:gridCol w:w="4619"/>
        <w:gridCol w:w="4619"/>
      </w:tblGrid>
      <w:tr w:rsidR="003E0003" w:rsidTr="003E0003">
        <w:tc>
          <w:tcPr>
            <w:tcW w:w="4619" w:type="dxa"/>
          </w:tcPr>
          <w:p w:rsidR="003E0003" w:rsidRDefault="003E0003" w:rsidP="007C0B30">
            <w:pPr>
              <w:tabs>
                <w:tab w:val="left" w:pos="1331"/>
              </w:tabs>
              <w:spacing w:before="120" w:after="120"/>
              <w:jc w:val="both"/>
              <w:rPr>
                <w:rFonts w:cs="Arial"/>
                <w:b/>
                <w:sz w:val="20"/>
                <w:szCs w:val="20"/>
                <w:lang w:val="en-ZA"/>
              </w:rPr>
            </w:pPr>
            <w:r w:rsidRPr="003E0003">
              <w:rPr>
                <w:rFonts w:cs="Arial"/>
                <w:b/>
                <w:sz w:val="20"/>
                <w:szCs w:val="20"/>
                <w:lang w:val="en-ZA"/>
              </w:rPr>
              <w:t>Product</w:t>
            </w:r>
          </w:p>
          <w:p w:rsidR="003E0003" w:rsidRDefault="003E0003" w:rsidP="007C0B30">
            <w:pPr>
              <w:tabs>
                <w:tab w:val="left" w:pos="1331"/>
              </w:tabs>
              <w:spacing w:after="120"/>
              <w:jc w:val="both"/>
              <w:rPr>
                <w:rFonts w:cs="Arial"/>
                <w:sz w:val="20"/>
                <w:szCs w:val="20"/>
                <w:lang w:val="en-ZA"/>
              </w:rPr>
            </w:pPr>
            <w:r w:rsidRPr="003E0003">
              <w:rPr>
                <w:rFonts w:cs="Arial"/>
                <w:sz w:val="20"/>
                <w:szCs w:val="20"/>
                <w:lang w:val="en-ZA"/>
              </w:rPr>
              <w:t xml:space="preserve">Sunflower- seed oil for human consumption. </w:t>
            </w:r>
            <w:r>
              <w:rPr>
                <w:rFonts w:cs="Arial"/>
                <w:sz w:val="20"/>
                <w:szCs w:val="20"/>
                <w:lang w:val="en-ZA"/>
              </w:rPr>
              <w:t>Part for industrial</w:t>
            </w:r>
            <w:r w:rsidRPr="003E0003">
              <w:rPr>
                <w:rFonts w:cs="Arial"/>
                <w:sz w:val="20"/>
                <w:szCs w:val="20"/>
                <w:lang w:val="en-ZA"/>
              </w:rPr>
              <w:t xml:space="preserve"> oilcake</w:t>
            </w:r>
            <w:r w:rsidR="001411A7">
              <w:rPr>
                <w:rFonts w:cs="Arial"/>
                <w:sz w:val="20"/>
                <w:szCs w:val="20"/>
                <w:lang w:val="en-ZA"/>
              </w:rPr>
              <w:t xml:space="preserve"> </w:t>
            </w:r>
            <w:r w:rsidRPr="003E0003">
              <w:rPr>
                <w:rFonts w:cs="Arial"/>
                <w:sz w:val="20"/>
                <w:szCs w:val="20"/>
                <w:lang w:val="en-ZA"/>
              </w:rPr>
              <w:t>but focus on human consump</w:t>
            </w:r>
            <w:r w:rsidR="001411A7">
              <w:rPr>
                <w:rFonts w:cs="Arial"/>
                <w:sz w:val="20"/>
                <w:szCs w:val="20"/>
                <w:lang w:val="en-ZA"/>
              </w:rPr>
              <w:t>tion.</w:t>
            </w:r>
            <w:r w:rsidRPr="003E0003">
              <w:rPr>
                <w:rFonts w:cs="Arial"/>
                <w:sz w:val="20"/>
                <w:szCs w:val="20"/>
                <w:lang w:val="en-ZA"/>
              </w:rPr>
              <w:t xml:space="preserve"> All vegetable oils are free </w:t>
            </w:r>
            <w:r w:rsidR="001411A7" w:rsidRPr="003E0003">
              <w:rPr>
                <w:rFonts w:cs="Arial"/>
                <w:sz w:val="20"/>
                <w:szCs w:val="20"/>
                <w:lang w:val="en-ZA"/>
              </w:rPr>
              <w:t>of cholesterol</w:t>
            </w:r>
            <w:r w:rsidRPr="003E0003">
              <w:rPr>
                <w:rFonts w:cs="Arial"/>
                <w:sz w:val="20"/>
                <w:szCs w:val="20"/>
                <w:lang w:val="en-ZA"/>
              </w:rPr>
              <w:t xml:space="preserve"> and have the same energy value, but different fatty compositions.</w:t>
            </w:r>
          </w:p>
        </w:tc>
        <w:tc>
          <w:tcPr>
            <w:tcW w:w="4619" w:type="dxa"/>
          </w:tcPr>
          <w:p w:rsidR="001411A7" w:rsidRDefault="003E0003" w:rsidP="007C0B30">
            <w:pPr>
              <w:tabs>
                <w:tab w:val="left" w:pos="1331"/>
              </w:tabs>
              <w:spacing w:before="120" w:after="120"/>
              <w:jc w:val="both"/>
              <w:rPr>
                <w:rFonts w:cs="Arial"/>
                <w:b/>
                <w:sz w:val="20"/>
                <w:szCs w:val="20"/>
                <w:lang w:val="en-ZA"/>
              </w:rPr>
            </w:pPr>
            <w:r w:rsidRPr="003E0003">
              <w:rPr>
                <w:rFonts w:cs="Arial"/>
                <w:b/>
                <w:sz w:val="20"/>
                <w:szCs w:val="20"/>
                <w:lang w:val="en-ZA"/>
              </w:rPr>
              <w:t>Production</w:t>
            </w:r>
          </w:p>
          <w:p w:rsidR="001411A7" w:rsidRDefault="001411A7" w:rsidP="007C0B30">
            <w:pPr>
              <w:tabs>
                <w:tab w:val="left" w:pos="1331"/>
              </w:tabs>
              <w:spacing w:after="120"/>
              <w:jc w:val="both"/>
              <w:rPr>
                <w:rFonts w:cs="Arial"/>
                <w:sz w:val="20"/>
                <w:szCs w:val="20"/>
                <w:lang w:val="en-ZA"/>
              </w:rPr>
            </w:pPr>
            <w:r w:rsidRPr="003E0003">
              <w:rPr>
                <w:rFonts w:cs="Arial"/>
                <w:sz w:val="20"/>
                <w:szCs w:val="20"/>
                <w:lang w:val="en-ZA"/>
              </w:rPr>
              <w:t>Sunflower oil for consumption / the part is locally sold.</w:t>
            </w:r>
          </w:p>
        </w:tc>
      </w:tr>
      <w:tr w:rsidR="003E0003" w:rsidTr="003E0003">
        <w:tc>
          <w:tcPr>
            <w:tcW w:w="4619" w:type="dxa"/>
          </w:tcPr>
          <w:p w:rsidR="001411A7" w:rsidRPr="007C0B30" w:rsidRDefault="001411A7" w:rsidP="007C0B30">
            <w:pPr>
              <w:tabs>
                <w:tab w:val="left" w:pos="1331"/>
              </w:tabs>
              <w:spacing w:before="120" w:after="120"/>
              <w:jc w:val="both"/>
              <w:rPr>
                <w:rFonts w:cs="Arial"/>
                <w:b/>
                <w:sz w:val="20"/>
                <w:szCs w:val="20"/>
                <w:lang w:val="en-ZA"/>
              </w:rPr>
            </w:pPr>
            <w:r w:rsidRPr="003E0003">
              <w:rPr>
                <w:rFonts w:cs="Arial"/>
                <w:b/>
                <w:sz w:val="20"/>
                <w:szCs w:val="20"/>
                <w:lang w:val="en-ZA"/>
              </w:rPr>
              <w:t>End user</w:t>
            </w:r>
          </w:p>
          <w:p w:rsidR="003E0003" w:rsidRDefault="001411A7" w:rsidP="003E0003">
            <w:pPr>
              <w:tabs>
                <w:tab w:val="left" w:pos="1331"/>
              </w:tabs>
              <w:jc w:val="both"/>
              <w:rPr>
                <w:rFonts w:cs="Arial"/>
                <w:sz w:val="20"/>
                <w:szCs w:val="20"/>
                <w:lang w:val="en-ZA"/>
              </w:rPr>
            </w:pPr>
            <w:r w:rsidRPr="003E0003">
              <w:rPr>
                <w:rFonts w:cs="Arial"/>
                <w:sz w:val="20"/>
                <w:szCs w:val="20"/>
                <w:lang w:val="en-ZA"/>
              </w:rPr>
              <w:t>The consumer is the end user, but the buyer is the retailer from</w:t>
            </w:r>
            <w:r>
              <w:rPr>
                <w:rFonts w:cs="Arial"/>
                <w:sz w:val="20"/>
                <w:szCs w:val="20"/>
                <w:lang w:val="en-ZA"/>
              </w:rPr>
              <w:t xml:space="preserve"> </w:t>
            </w:r>
            <w:r w:rsidRPr="003E0003">
              <w:rPr>
                <w:rFonts w:cs="Arial"/>
                <w:sz w:val="20"/>
                <w:szCs w:val="20"/>
                <w:lang w:val="en-ZA"/>
              </w:rPr>
              <w:t>national chain shops.</w:t>
            </w:r>
          </w:p>
        </w:tc>
        <w:tc>
          <w:tcPr>
            <w:tcW w:w="4619" w:type="dxa"/>
          </w:tcPr>
          <w:p w:rsidR="001411A7" w:rsidRPr="007C0B30" w:rsidRDefault="001411A7" w:rsidP="007C0B30">
            <w:pPr>
              <w:tabs>
                <w:tab w:val="left" w:pos="1331"/>
              </w:tabs>
              <w:spacing w:before="120" w:after="120"/>
              <w:jc w:val="both"/>
              <w:rPr>
                <w:rFonts w:cs="Arial"/>
                <w:b/>
                <w:sz w:val="20"/>
                <w:szCs w:val="20"/>
                <w:lang w:val="en-ZA"/>
              </w:rPr>
            </w:pPr>
            <w:r w:rsidRPr="003E0003">
              <w:rPr>
                <w:rFonts w:cs="Arial"/>
                <w:b/>
                <w:sz w:val="20"/>
                <w:szCs w:val="20"/>
                <w:lang w:val="en-ZA"/>
              </w:rPr>
              <w:t>Socio - Economic</w:t>
            </w:r>
          </w:p>
          <w:p w:rsidR="00242559" w:rsidRDefault="00242559" w:rsidP="003E0003">
            <w:pPr>
              <w:tabs>
                <w:tab w:val="left" w:pos="1331"/>
              </w:tabs>
              <w:jc w:val="both"/>
              <w:rPr>
                <w:rFonts w:cs="Arial"/>
                <w:sz w:val="20"/>
                <w:szCs w:val="20"/>
                <w:lang w:val="en-ZA"/>
              </w:rPr>
            </w:pPr>
            <w:r>
              <w:rPr>
                <w:rFonts w:cs="Arial"/>
                <w:sz w:val="20"/>
                <w:szCs w:val="20"/>
                <w:lang w:val="en-ZA"/>
              </w:rPr>
              <w:t xml:space="preserve">The typical consumers of sunflower oil are the </w:t>
            </w:r>
          </w:p>
          <w:p w:rsidR="00242559" w:rsidRDefault="00242559" w:rsidP="003E0003">
            <w:pPr>
              <w:tabs>
                <w:tab w:val="left" w:pos="1331"/>
              </w:tabs>
              <w:jc w:val="both"/>
              <w:rPr>
                <w:rFonts w:cs="Arial"/>
                <w:sz w:val="20"/>
                <w:szCs w:val="20"/>
                <w:lang w:val="en-ZA"/>
              </w:rPr>
            </w:pPr>
            <w:r>
              <w:rPr>
                <w:rFonts w:cs="Arial"/>
                <w:sz w:val="20"/>
                <w:szCs w:val="20"/>
                <w:lang w:val="en-ZA"/>
              </w:rPr>
              <w:t>household consumers.</w:t>
            </w:r>
          </w:p>
        </w:tc>
      </w:tr>
    </w:tbl>
    <w:p w:rsidR="003E0003" w:rsidRDefault="003E0003" w:rsidP="003E0003">
      <w:pPr>
        <w:tabs>
          <w:tab w:val="left" w:pos="1331"/>
        </w:tabs>
        <w:jc w:val="both"/>
        <w:rPr>
          <w:rFonts w:cs="Arial"/>
          <w:sz w:val="20"/>
          <w:szCs w:val="20"/>
          <w:lang w:val="en-ZA"/>
        </w:rPr>
      </w:pPr>
    </w:p>
    <w:p w:rsidR="003E0003" w:rsidRDefault="003E0003" w:rsidP="003E0003">
      <w:pPr>
        <w:tabs>
          <w:tab w:val="left" w:pos="1331"/>
        </w:tabs>
        <w:jc w:val="both"/>
        <w:rPr>
          <w:rFonts w:cs="Arial"/>
          <w:sz w:val="20"/>
          <w:szCs w:val="20"/>
          <w:lang w:val="en-ZA"/>
        </w:rPr>
      </w:pPr>
    </w:p>
    <w:p w:rsidR="003E0003" w:rsidRPr="003E0003" w:rsidRDefault="003E0003" w:rsidP="003E0003">
      <w:pPr>
        <w:tabs>
          <w:tab w:val="left" w:pos="1331"/>
        </w:tabs>
        <w:jc w:val="both"/>
        <w:rPr>
          <w:rFonts w:cs="Arial"/>
          <w:sz w:val="20"/>
          <w:szCs w:val="20"/>
          <w:lang w:val="en-ZA"/>
        </w:rPr>
      </w:pPr>
      <w:r w:rsidRPr="003E0003">
        <w:rPr>
          <w:rFonts w:cs="Arial"/>
          <w:sz w:val="20"/>
          <w:szCs w:val="20"/>
          <w:lang w:val="en-ZA"/>
        </w:rPr>
        <w:t>The end consumer influence</w:t>
      </w:r>
      <w:r w:rsidR="00242559">
        <w:rPr>
          <w:rFonts w:cs="Arial"/>
          <w:sz w:val="20"/>
          <w:szCs w:val="20"/>
          <w:lang w:val="en-ZA"/>
        </w:rPr>
        <w:t>s</w:t>
      </w:r>
      <w:r w:rsidRPr="003E0003">
        <w:rPr>
          <w:rFonts w:cs="Arial"/>
          <w:sz w:val="20"/>
          <w:szCs w:val="20"/>
          <w:lang w:val="en-ZA"/>
        </w:rPr>
        <w:t xml:space="preserve"> the buying decisions of the retailers and the following has been picked up about the end </w:t>
      </w:r>
      <w:r w:rsidRPr="00242559">
        <w:rPr>
          <w:rFonts w:cs="Arial"/>
          <w:sz w:val="20"/>
          <w:szCs w:val="20"/>
          <w:lang w:val="en-ZA"/>
        </w:rPr>
        <w:t>consumers</w:t>
      </w:r>
      <w:r w:rsidR="00242559" w:rsidRPr="00242559">
        <w:rPr>
          <w:rFonts w:cs="Arial"/>
          <w:sz w:val="20"/>
          <w:szCs w:val="20"/>
        </w:rPr>
        <w:t xml:space="preserve"> (Euromonitor, 2010)</w:t>
      </w:r>
      <w:r w:rsidRPr="00242559">
        <w:rPr>
          <w:rFonts w:cs="Arial"/>
          <w:sz w:val="20"/>
          <w:szCs w:val="20"/>
          <w:lang w:val="en-ZA"/>
        </w:rPr>
        <w:t>:</w:t>
      </w:r>
      <w:r w:rsidRPr="003E0003">
        <w:rPr>
          <w:rFonts w:cs="Arial"/>
          <w:sz w:val="20"/>
          <w:szCs w:val="20"/>
          <w:lang w:val="en-ZA"/>
        </w:rPr>
        <w:t xml:space="preserve"> </w:t>
      </w:r>
    </w:p>
    <w:p w:rsidR="003E0003" w:rsidRPr="003E0003" w:rsidRDefault="003E0003" w:rsidP="003E0003">
      <w:pPr>
        <w:tabs>
          <w:tab w:val="left" w:pos="1331"/>
        </w:tabs>
        <w:jc w:val="both"/>
        <w:rPr>
          <w:rFonts w:cs="Arial"/>
          <w:sz w:val="20"/>
          <w:szCs w:val="20"/>
        </w:rPr>
      </w:pPr>
    </w:p>
    <w:p w:rsidR="003E0003" w:rsidRPr="003E0003" w:rsidRDefault="003E0003" w:rsidP="00E41E5A">
      <w:pPr>
        <w:numPr>
          <w:ilvl w:val="0"/>
          <w:numId w:val="13"/>
        </w:numPr>
        <w:tabs>
          <w:tab w:val="clear" w:pos="720"/>
          <w:tab w:val="num" w:pos="360"/>
          <w:tab w:val="left" w:pos="1331"/>
        </w:tabs>
        <w:ind w:left="360"/>
        <w:jc w:val="both"/>
        <w:rPr>
          <w:rFonts w:cs="Arial"/>
          <w:sz w:val="20"/>
          <w:szCs w:val="20"/>
        </w:rPr>
      </w:pPr>
      <w:r w:rsidRPr="003E0003">
        <w:rPr>
          <w:rFonts w:cs="Arial"/>
          <w:sz w:val="20"/>
          <w:szCs w:val="20"/>
        </w:rPr>
        <w:t>During the economic downturn to consumers increasingly opting to home-cooked food. This benefited</w:t>
      </w:r>
      <w:r w:rsidRPr="003E0003">
        <w:rPr>
          <w:rFonts w:cs="Arial"/>
          <w:sz w:val="20"/>
          <w:szCs w:val="20"/>
          <w:lang w:val="en-ZA"/>
        </w:rPr>
        <w:t xml:space="preserve"> </w:t>
      </w:r>
      <w:r w:rsidRPr="003E0003">
        <w:rPr>
          <w:rFonts w:cs="Arial"/>
          <w:sz w:val="20"/>
          <w:szCs w:val="20"/>
        </w:rPr>
        <w:t xml:space="preserve">products used for cooking evening meals, such as pasta, rice and vegetable and seed oil.  </w:t>
      </w:r>
    </w:p>
    <w:p w:rsidR="003E0003" w:rsidRPr="003E0003" w:rsidRDefault="003E0003" w:rsidP="00E41E5A">
      <w:pPr>
        <w:numPr>
          <w:ilvl w:val="0"/>
          <w:numId w:val="13"/>
        </w:numPr>
        <w:tabs>
          <w:tab w:val="clear" w:pos="720"/>
          <w:tab w:val="num" w:pos="360"/>
          <w:tab w:val="left" w:pos="1331"/>
        </w:tabs>
        <w:ind w:left="360"/>
        <w:jc w:val="both"/>
        <w:rPr>
          <w:rFonts w:cs="Arial"/>
          <w:sz w:val="20"/>
          <w:szCs w:val="20"/>
        </w:rPr>
      </w:pPr>
      <w:r w:rsidRPr="003E0003">
        <w:rPr>
          <w:rFonts w:cs="Arial"/>
          <w:sz w:val="20"/>
          <w:szCs w:val="20"/>
          <w:lang w:val="en-ZA"/>
        </w:rPr>
        <w:t xml:space="preserve">Consumers reducing the salt, sugar, trans-fat and fat intake due to the government’s nutritional education campaigns. </w:t>
      </w:r>
    </w:p>
    <w:p w:rsidR="00482DD8" w:rsidRPr="000D562F" w:rsidRDefault="00482DD8" w:rsidP="0032483F">
      <w:pPr>
        <w:pStyle w:val="Heading4"/>
        <w:rPr>
          <w:b w:val="0"/>
          <w:color w:val="4F81BD" w:themeColor="accent1"/>
          <w:sz w:val="20"/>
          <w:szCs w:val="20"/>
        </w:rPr>
        <w:sectPr w:rsidR="00482DD8" w:rsidRPr="000D562F" w:rsidSect="00C65C51">
          <w:pgSz w:w="12240" w:h="15840"/>
          <w:pgMar w:top="1418" w:right="1418" w:bottom="1418" w:left="1418" w:header="720" w:footer="720" w:gutter="0"/>
          <w:cols w:space="720" w:equalWidth="0">
            <w:col w:w="9022" w:space="720"/>
          </w:cols>
          <w:docGrid w:linePitch="360"/>
        </w:sectPr>
      </w:pPr>
    </w:p>
    <w:p w:rsidR="006C3289" w:rsidRPr="000D562F" w:rsidRDefault="00F647CC">
      <w:pPr>
        <w:pStyle w:val="Heading1"/>
        <w:pBdr>
          <w:top w:val="single" w:sz="4" w:space="1" w:color="auto"/>
          <w:bottom w:val="single" w:sz="4" w:space="1" w:color="auto"/>
        </w:pBdr>
        <w:jc w:val="center"/>
        <w:rPr>
          <w:sz w:val="20"/>
          <w:szCs w:val="20"/>
        </w:rPr>
      </w:pPr>
      <w:bookmarkStart w:id="19" w:name="_Toc290627302"/>
      <w:r w:rsidRPr="000D562F">
        <w:rPr>
          <w:sz w:val="20"/>
          <w:szCs w:val="20"/>
        </w:rPr>
        <w:lastRenderedPageBreak/>
        <w:t>E.</w:t>
      </w:r>
      <w:r w:rsidR="00235D21" w:rsidRPr="000D562F">
        <w:rPr>
          <w:sz w:val="20"/>
          <w:szCs w:val="20"/>
        </w:rPr>
        <w:t xml:space="preserve"> </w:t>
      </w:r>
      <w:r w:rsidR="004422E1" w:rsidRPr="000D562F">
        <w:rPr>
          <w:sz w:val="20"/>
          <w:szCs w:val="20"/>
        </w:rPr>
        <w:t xml:space="preserve">Permission: </w:t>
      </w:r>
      <w:r w:rsidR="00235D21" w:rsidRPr="000D562F">
        <w:rPr>
          <w:sz w:val="20"/>
          <w:szCs w:val="20"/>
        </w:rPr>
        <w:t>Market Access</w:t>
      </w:r>
      <w:bookmarkEnd w:id="19"/>
    </w:p>
    <w:p w:rsidR="006C3289" w:rsidRPr="000D562F" w:rsidRDefault="00235D21">
      <w:pPr>
        <w:pStyle w:val="Heading2"/>
        <w:rPr>
          <w:i w:val="0"/>
          <w:sz w:val="20"/>
          <w:szCs w:val="20"/>
          <w:u w:val="single"/>
        </w:rPr>
      </w:pPr>
      <w:bookmarkStart w:id="20" w:name="_Toc290627303"/>
      <w:r w:rsidRPr="000D562F">
        <w:rPr>
          <w:i w:val="0"/>
          <w:sz w:val="20"/>
          <w:szCs w:val="20"/>
          <w:u w:val="single"/>
        </w:rPr>
        <w:t>Tariffs</w:t>
      </w:r>
      <w:bookmarkEnd w:id="20"/>
    </w:p>
    <w:p w:rsidR="00620400" w:rsidRDefault="000A781D" w:rsidP="0099154F">
      <w:pPr>
        <w:pStyle w:val="Heading4"/>
        <w:keepNext/>
        <w:autoSpaceDE w:val="0"/>
        <w:autoSpaceDN w:val="0"/>
        <w:adjustRightInd w:val="0"/>
        <w:spacing w:before="240" w:after="120"/>
        <w:jc w:val="both"/>
        <w:rPr>
          <w:b w:val="0"/>
          <w:bCs w:val="0"/>
          <w:sz w:val="20"/>
          <w:szCs w:val="20"/>
          <w:lang w:val="en-ZA"/>
        </w:rPr>
      </w:pPr>
      <w:r>
        <w:rPr>
          <w:b w:val="0"/>
          <w:bCs w:val="0"/>
          <w:sz w:val="20"/>
          <w:szCs w:val="20"/>
          <w:lang w:val="en-ZA"/>
        </w:rPr>
        <w:t>D</w:t>
      </w:r>
      <w:r w:rsidR="00A91B93">
        <w:rPr>
          <w:b w:val="0"/>
          <w:bCs w:val="0"/>
          <w:sz w:val="20"/>
          <w:szCs w:val="20"/>
          <w:lang w:val="en-ZA"/>
        </w:rPr>
        <w:t>ue</w:t>
      </w:r>
      <w:r w:rsidR="00D920C1">
        <w:rPr>
          <w:b w:val="0"/>
          <w:bCs w:val="0"/>
          <w:sz w:val="20"/>
          <w:szCs w:val="20"/>
          <w:lang w:val="en-ZA"/>
        </w:rPr>
        <w:t xml:space="preserve"> to the</w:t>
      </w:r>
      <w:r w:rsidR="00F73C6C" w:rsidRPr="0099154F">
        <w:rPr>
          <w:b w:val="0"/>
          <w:bCs w:val="0"/>
          <w:sz w:val="20"/>
          <w:szCs w:val="20"/>
          <w:lang w:val="en-ZA"/>
        </w:rPr>
        <w:t xml:space="preserve"> Agreement of Trade, Development and Cooperation</w:t>
      </w:r>
      <w:r w:rsidR="006B4A11">
        <w:rPr>
          <w:b w:val="0"/>
          <w:bCs w:val="0"/>
          <w:sz w:val="20"/>
          <w:szCs w:val="20"/>
          <w:lang w:val="en-ZA"/>
        </w:rPr>
        <w:t xml:space="preserve"> (TDCA)</w:t>
      </w:r>
      <w:r w:rsidR="00F73C6C" w:rsidRPr="0099154F">
        <w:rPr>
          <w:b w:val="0"/>
          <w:bCs w:val="0"/>
          <w:sz w:val="20"/>
          <w:szCs w:val="20"/>
          <w:lang w:val="en-ZA"/>
        </w:rPr>
        <w:t xml:space="preserve"> between South Africa and the Euro</w:t>
      </w:r>
      <w:r w:rsidR="00D920C1">
        <w:rPr>
          <w:b w:val="0"/>
          <w:bCs w:val="0"/>
          <w:sz w:val="20"/>
          <w:szCs w:val="20"/>
          <w:lang w:val="en-ZA"/>
        </w:rPr>
        <w:t>pean Union</w:t>
      </w:r>
      <w:r w:rsidRPr="000A781D">
        <w:rPr>
          <w:b w:val="0"/>
          <w:bCs w:val="0"/>
          <w:sz w:val="20"/>
          <w:szCs w:val="20"/>
          <w:lang w:val="en-ZA"/>
        </w:rPr>
        <w:t xml:space="preserve"> </w:t>
      </w:r>
      <w:r w:rsidRPr="0099154F">
        <w:rPr>
          <w:b w:val="0"/>
          <w:bCs w:val="0"/>
          <w:sz w:val="20"/>
          <w:szCs w:val="20"/>
          <w:lang w:val="en-ZA"/>
        </w:rPr>
        <w:t>South Africa</w:t>
      </w:r>
      <w:r>
        <w:rPr>
          <w:b w:val="0"/>
          <w:bCs w:val="0"/>
          <w:sz w:val="20"/>
          <w:szCs w:val="20"/>
          <w:lang w:val="en-ZA"/>
        </w:rPr>
        <w:t>n sunflower oil</w:t>
      </w:r>
      <w:r w:rsidRPr="0099154F">
        <w:rPr>
          <w:b w:val="0"/>
          <w:bCs w:val="0"/>
          <w:sz w:val="20"/>
          <w:szCs w:val="20"/>
          <w:lang w:val="en-ZA"/>
        </w:rPr>
        <w:t xml:space="preserve"> is free from</w:t>
      </w:r>
      <w:r>
        <w:rPr>
          <w:b w:val="0"/>
          <w:bCs w:val="0"/>
          <w:sz w:val="20"/>
          <w:szCs w:val="20"/>
          <w:lang w:val="en-ZA"/>
        </w:rPr>
        <w:t xml:space="preserve"> </w:t>
      </w:r>
      <w:r w:rsidRPr="0099154F">
        <w:rPr>
          <w:b w:val="0"/>
          <w:bCs w:val="0"/>
          <w:sz w:val="20"/>
          <w:szCs w:val="20"/>
          <w:lang w:val="en-ZA"/>
        </w:rPr>
        <w:t>any tariff charges</w:t>
      </w:r>
      <w:r>
        <w:rPr>
          <w:b w:val="0"/>
          <w:bCs w:val="0"/>
          <w:sz w:val="20"/>
          <w:szCs w:val="20"/>
          <w:lang w:val="en-ZA"/>
        </w:rPr>
        <w:t xml:space="preserve"> when entering the UK market</w:t>
      </w:r>
      <w:r w:rsidR="00F73C6C" w:rsidRPr="0099154F">
        <w:rPr>
          <w:b w:val="0"/>
          <w:bCs w:val="0"/>
          <w:sz w:val="20"/>
          <w:szCs w:val="20"/>
          <w:lang w:val="en-ZA"/>
        </w:rPr>
        <w:t>.</w:t>
      </w:r>
      <w:r>
        <w:rPr>
          <w:b w:val="0"/>
          <w:bCs w:val="0"/>
          <w:sz w:val="20"/>
          <w:szCs w:val="20"/>
          <w:lang w:val="en-ZA"/>
        </w:rPr>
        <w:t xml:space="preserve"> </w:t>
      </w:r>
      <w:r w:rsidR="008B6D89" w:rsidRPr="0099154F">
        <w:rPr>
          <w:b w:val="0"/>
          <w:bCs w:val="0"/>
          <w:sz w:val="20"/>
          <w:szCs w:val="20"/>
          <w:lang w:val="en-ZA"/>
        </w:rPr>
        <w:t>South Africa’s strongest competitors</w:t>
      </w:r>
      <w:r w:rsidR="0099154F">
        <w:rPr>
          <w:b w:val="0"/>
          <w:bCs w:val="0"/>
          <w:sz w:val="20"/>
          <w:szCs w:val="20"/>
          <w:lang w:val="en-ZA"/>
        </w:rPr>
        <w:t xml:space="preserve"> in the UK</w:t>
      </w:r>
      <w:r>
        <w:rPr>
          <w:b w:val="0"/>
          <w:bCs w:val="0"/>
          <w:sz w:val="20"/>
          <w:szCs w:val="20"/>
          <w:lang w:val="en-ZA"/>
        </w:rPr>
        <w:t xml:space="preserve"> are members of the EU, and therefore also exempt from any tariffs</w:t>
      </w:r>
      <w:r w:rsidR="00B12002" w:rsidRPr="0099154F">
        <w:rPr>
          <w:b w:val="0"/>
          <w:bCs w:val="0"/>
          <w:sz w:val="20"/>
          <w:szCs w:val="20"/>
          <w:lang w:val="en-ZA"/>
        </w:rPr>
        <w:t xml:space="preserve">. </w:t>
      </w:r>
      <w:r>
        <w:rPr>
          <w:b w:val="0"/>
          <w:bCs w:val="0"/>
          <w:sz w:val="20"/>
          <w:szCs w:val="20"/>
          <w:lang w:val="en-ZA"/>
        </w:rPr>
        <w:t>U</w:t>
      </w:r>
      <w:r w:rsidRPr="0099154F">
        <w:rPr>
          <w:b w:val="0"/>
          <w:bCs w:val="0"/>
          <w:sz w:val="20"/>
          <w:szCs w:val="20"/>
          <w:lang w:val="en-ZA"/>
        </w:rPr>
        <w:t xml:space="preserve">nder the Generalized System of Preferences (GSP) </w:t>
      </w:r>
      <w:r>
        <w:rPr>
          <w:b w:val="0"/>
          <w:bCs w:val="0"/>
          <w:sz w:val="20"/>
          <w:szCs w:val="20"/>
          <w:lang w:val="en-ZA"/>
        </w:rPr>
        <w:t>of the WTO,</w:t>
      </w:r>
      <w:r w:rsidRPr="0099154F">
        <w:rPr>
          <w:b w:val="0"/>
          <w:bCs w:val="0"/>
          <w:sz w:val="20"/>
          <w:szCs w:val="20"/>
          <w:lang w:val="en-ZA"/>
        </w:rPr>
        <w:t xml:space="preserve"> </w:t>
      </w:r>
      <w:r w:rsidR="00B12002" w:rsidRPr="0099154F">
        <w:rPr>
          <w:b w:val="0"/>
          <w:bCs w:val="0"/>
          <w:sz w:val="20"/>
          <w:szCs w:val="20"/>
          <w:lang w:val="en-ZA"/>
        </w:rPr>
        <w:t>Argentinean sunflower oil exporters</w:t>
      </w:r>
      <w:r w:rsidR="00D920C1">
        <w:rPr>
          <w:b w:val="0"/>
          <w:bCs w:val="0"/>
          <w:sz w:val="20"/>
          <w:szCs w:val="20"/>
          <w:lang w:val="en-ZA"/>
        </w:rPr>
        <w:t xml:space="preserve"> face a 6.2% tariff</w:t>
      </w:r>
      <w:r>
        <w:rPr>
          <w:b w:val="0"/>
          <w:bCs w:val="0"/>
          <w:sz w:val="20"/>
          <w:szCs w:val="20"/>
          <w:lang w:val="en-ZA"/>
        </w:rPr>
        <w:t xml:space="preserve"> when exporting to the</w:t>
      </w:r>
      <w:r w:rsidR="000F623B">
        <w:rPr>
          <w:b w:val="0"/>
          <w:bCs w:val="0"/>
          <w:sz w:val="20"/>
          <w:szCs w:val="20"/>
          <w:lang w:val="en-ZA"/>
        </w:rPr>
        <w:t xml:space="preserve"> </w:t>
      </w:r>
      <w:r>
        <w:rPr>
          <w:b w:val="0"/>
          <w:bCs w:val="0"/>
          <w:sz w:val="20"/>
          <w:szCs w:val="20"/>
          <w:lang w:val="en-ZA"/>
        </w:rPr>
        <w:t>UK</w:t>
      </w:r>
      <w:r w:rsidR="00D920C1">
        <w:rPr>
          <w:b w:val="0"/>
          <w:bCs w:val="0"/>
          <w:sz w:val="20"/>
          <w:szCs w:val="20"/>
          <w:lang w:val="en-ZA"/>
        </w:rPr>
        <w:t>. Argentina is the only competitor in the UK market</w:t>
      </w:r>
      <w:r w:rsidR="00B12002" w:rsidRPr="0099154F">
        <w:rPr>
          <w:b w:val="0"/>
          <w:bCs w:val="0"/>
          <w:sz w:val="20"/>
          <w:szCs w:val="20"/>
          <w:lang w:val="en-ZA"/>
        </w:rPr>
        <w:t xml:space="preserve"> that face</w:t>
      </w:r>
      <w:r w:rsidR="00D920C1">
        <w:rPr>
          <w:b w:val="0"/>
          <w:bCs w:val="0"/>
          <w:sz w:val="20"/>
          <w:szCs w:val="20"/>
          <w:lang w:val="en-ZA"/>
        </w:rPr>
        <w:t>s</w:t>
      </w:r>
      <w:r w:rsidR="00B12002" w:rsidRPr="0099154F">
        <w:rPr>
          <w:b w:val="0"/>
          <w:bCs w:val="0"/>
          <w:sz w:val="20"/>
          <w:szCs w:val="20"/>
          <w:lang w:val="en-ZA"/>
        </w:rPr>
        <w:t xml:space="preserve"> a</w:t>
      </w:r>
      <w:r w:rsidR="000F623B">
        <w:rPr>
          <w:b w:val="0"/>
          <w:bCs w:val="0"/>
          <w:sz w:val="20"/>
          <w:szCs w:val="20"/>
          <w:lang w:val="en-ZA"/>
        </w:rPr>
        <w:t xml:space="preserve"> tariff when exporting to the UK</w:t>
      </w:r>
      <w:r w:rsidR="00B12002" w:rsidRPr="0099154F">
        <w:rPr>
          <w:b w:val="0"/>
          <w:bCs w:val="0"/>
          <w:sz w:val="20"/>
          <w:szCs w:val="20"/>
          <w:lang w:val="en-ZA"/>
        </w:rPr>
        <w:t>.</w:t>
      </w:r>
      <w:r w:rsidR="006B4A11">
        <w:rPr>
          <w:b w:val="0"/>
          <w:bCs w:val="0"/>
          <w:sz w:val="20"/>
          <w:szCs w:val="20"/>
          <w:lang w:val="en-ZA"/>
        </w:rPr>
        <w:t xml:space="preserve"> </w:t>
      </w:r>
    </w:p>
    <w:p w:rsidR="007D6991" w:rsidRDefault="0099154F" w:rsidP="0099154F">
      <w:pPr>
        <w:pStyle w:val="Heading4"/>
        <w:keepNext/>
        <w:autoSpaceDE w:val="0"/>
        <w:autoSpaceDN w:val="0"/>
        <w:adjustRightInd w:val="0"/>
        <w:spacing w:before="240" w:after="120"/>
        <w:jc w:val="both"/>
        <w:rPr>
          <w:b w:val="0"/>
          <w:bCs w:val="0"/>
          <w:sz w:val="20"/>
          <w:szCs w:val="20"/>
          <w:lang w:val="en-ZA"/>
        </w:rPr>
      </w:pPr>
      <w:r>
        <w:rPr>
          <w:b w:val="0"/>
          <w:bCs w:val="0"/>
          <w:sz w:val="20"/>
          <w:szCs w:val="20"/>
          <w:lang w:val="en-ZA"/>
        </w:rPr>
        <w:t xml:space="preserve">South African sunflower oil </w:t>
      </w:r>
      <w:r w:rsidR="0086088C">
        <w:rPr>
          <w:b w:val="0"/>
          <w:bCs w:val="0"/>
          <w:sz w:val="20"/>
          <w:szCs w:val="20"/>
          <w:lang w:val="en-ZA"/>
        </w:rPr>
        <w:t xml:space="preserve">exporters </w:t>
      </w:r>
      <w:r>
        <w:rPr>
          <w:b w:val="0"/>
          <w:bCs w:val="0"/>
          <w:sz w:val="20"/>
          <w:szCs w:val="20"/>
          <w:lang w:val="en-ZA"/>
        </w:rPr>
        <w:t>have a 6.2% tariff advantage over Argentinean exporters. However</w:t>
      </w:r>
      <w:r w:rsidR="0086088C">
        <w:rPr>
          <w:b w:val="0"/>
          <w:bCs w:val="0"/>
          <w:sz w:val="20"/>
          <w:szCs w:val="20"/>
          <w:lang w:val="en-ZA"/>
        </w:rPr>
        <w:t>,</w:t>
      </w:r>
      <w:r>
        <w:rPr>
          <w:b w:val="0"/>
          <w:bCs w:val="0"/>
          <w:sz w:val="20"/>
          <w:szCs w:val="20"/>
          <w:lang w:val="en-ZA"/>
        </w:rPr>
        <w:t xml:space="preserve"> a small ta</w:t>
      </w:r>
      <w:r w:rsidR="008E03E6">
        <w:rPr>
          <w:b w:val="0"/>
          <w:bCs w:val="0"/>
          <w:sz w:val="20"/>
          <w:szCs w:val="20"/>
          <w:lang w:val="en-ZA"/>
        </w:rPr>
        <w:t>riff advantage of only 6.2% can easily be eroded by inefficiencies in the South African su</w:t>
      </w:r>
      <w:r w:rsidR="006B4A11">
        <w:rPr>
          <w:b w:val="0"/>
          <w:bCs w:val="0"/>
          <w:sz w:val="20"/>
          <w:szCs w:val="20"/>
          <w:lang w:val="en-ZA"/>
        </w:rPr>
        <w:t>pply chain. Overall South African exporters will enter the UK market with no strong advantages or disadvantages over their competitors.</w:t>
      </w:r>
      <w:r w:rsidR="008E03E6">
        <w:rPr>
          <w:b w:val="0"/>
          <w:bCs w:val="0"/>
          <w:sz w:val="20"/>
          <w:szCs w:val="20"/>
          <w:lang w:val="en-ZA"/>
        </w:rPr>
        <w:t xml:space="preserve"> </w:t>
      </w:r>
      <w:r>
        <w:rPr>
          <w:b w:val="0"/>
          <w:bCs w:val="0"/>
          <w:sz w:val="20"/>
          <w:szCs w:val="20"/>
          <w:lang w:val="en-ZA"/>
        </w:rPr>
        <w:t xml:space="preserve"> </w:t>
      </w:r>
    </w:p>
    <w:p w:rsidR="00620400" w:rsidRPr="0099154F" w:rsidRDefault="004B483D" w:rsidP="0099154F">
      <w:pPr>
        <w:pStyle w:val="Heading4"/>
        <w:keepNext/>
        <w:autoSpaceDE w:val="0"/>
        <w:autoSpaceDN w:val="0"/>
        <w:adjustRightInd w:val="0"/>
        <w:spacing w:before="240" w:after="120"/>
        <w:jc w:val="both"/>
        <w:rPr>
          <w:b w:val="0"/>
          <w:bCs w:val="0"/>
          <w:sz w:val="20"/>
          <w:szCs w:val="20"/>
          <w:lang w:val="en-ZA"/>
        </w:rPr>
      </w:pPr>
      <w:r>
        <w:rPr>
          <w:b w:val="0"/>
          <w:bCs w:val="0"/>
          <w:sz w:val="20"/>
          <w:szCs w:val="20"/>
          <w:lang w:val="en-ZA"/>
        </w:rPr>
        <w:t>Table… : Tariff faced by South Africa and its competitors in the UK</w:t>
      </w:r>
    </w:p>
    <w:tbl>
      <w:tblPr>
        <w:tblStyle w:val="MediumShading1-Accent11"/>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1070"/>
        <w:gridCol w:w="1957"/>
        <w:gridCol w:w="1653"/>
        <w:gridCol w:w="1928"/>
      </w:tblGrid>
      <w:tr w:rsidR="00D96EB1" w:rsidRPr="00D96EB1" w:rsidTr="00D96EB1">
        <w:trPr>
          <w:cnfStyle w:val="100000000000"/>
          <w:trHeight w:hRule="exact" w:val="622"/>
        </w:trPr>
        <w:tc>
          <w:tcPr>
            <w:cnfStyle w:val="001000000000"/>
            <w:tcW w:w="2512" w:type="dxa"/>
            <w:tcBorders>
              <w:top w:val="none" w:sz="0" w:space="0" w:color="auto"/>
              <w:left w:val="none" w:sz="0" w:space="0" w:color="auto"/>
              <w:bottom w:val="none" w:sz="0" w:space="0" w:color="auto"/>
              <w:right w:val="none" w:sz="0" w:space="0" w:color="auto"/>
            </w:tcBorders>
            <w:vAlign w:val="center"/>
            <w:hideMark/>
          </w:tcPr>
          <w:p w:rsidR="007D6991" w:rsidRPr="00D96EB1" w:rsidRDefault="007D6991" w:rsidP="00D96EB1">
            <w:pPr>
              <w:pStyle w:val="NoSpacing"/>
              <w:jc w:val="center"/>
              <w:rPr>
                <w:sz w:val="18"/>
                <w:szCs w:val="18"/>
              </w:rPr>
            </w:pPr>
          </w:p>
        </w:tc>
        <w:tc>
          <w:tcPr>
            <w:tcW w:w="0" w:type="auto"/>
            <w:tcBorders>
              <w:top w:val="none" w:sz="0" w:space="0" w:color="auto"/>
              <w:left w:val="none" w:sz="0" w:space="0" w:color="auto"/>
              <w:bottom w:val="none" w:sz="0" w:space="0" w:color="auto"/>
              <w:right w:val="none" w:sz="0" w:space="0" w:color="auto"/>
            </w:tcBorders>
            <w:vAlign w:val="center"/>
            <w:hideMark/>
          </w:tcPr>
          <w:p w:rsidR="007D6991" w:rsidRPr="00D96EB1" w:rsidRDefault="007D6991" w:rsidP="00D96EB1">
            <w:pPr>
              <w:pStyle w:val="NoSpacing"/>
              <w:jc w:val="center"/>
              <w:cnfStyle w:val="100000000000"/>
              <w:rPr>
                <w:sz w:val="18"/>
                <w:szCs w:val="18"/>
              </w:rPr>
            </w:pPr>
            <w:r w:rsidRPr="00D96EB1">
              <w:rPr>
                <w:sz w:val="18"/>
                <w:szCs w:val="18"/>
                <w:lang w:val="en-ZA"/>
              </w:rPr>
              <w:t>Market share</w:t>
            </w:r>
          </w:p>
        </w:tc>
        <w:tc>
          <w:tcPr>
            <w:tcW w:w="0" w:type="auto"/>
            <w:tcBorders>
              <w:top w:val="none" w:sz="0" w:space="0" w:color="auto"/>
              <w:left w:val="none" w:sz="0" w:space="0" w:color="auto"/>
              <w:bottom w:val="none" w:sz="0" w:space="0" w:color="auto"/>
              <w:right w:val="none" w:sz="0" w:space="0" w:color="auto"/>
            </w:tcBorders>
            <w:vAlign w:val="center"/>
            <w:hideMark/>
          </w:tcPr>
          <w:p w:rsidR="007D6991" w:rsidRPr="00D96EB1" w:rsidRDefault="007D6991" w:rsidP="00D96EB1">
            <w:pPr>
              <w:pStyle w:val="NoSpacing"/>
              <w:jc w:val="center"/>
              <w:cnfStyle w:val="100000000000"/>
              <w:rPr>
                <w:sz w:val="18"/>
                <w:szCs w:val="18"/>
              </w:rPr>
            </w:pPr>
            <w:r w:rsidRPr="00D96EB1">
              <w:rPr>
                <w:sz w:val="18"/>
                <w:szCs w:val="18"/>
              </w:rPr>
              <w:t>Tariffs faced</w:t>
            </w:r>
          </w:p>
        </w:tc>
        <w:tc>
          <w:tcPr>
            <w:tcW w:w="1653" w:type="dxa"/>
            <w:tcBorders>
              <w:top w:val="none" w:sz="0" w:space="0" w:color="auto"/>
              <w:left w:val="none" w:sz="0" w:space="0" w:color="auto"/>
              <w:bottom w:val="none" w:sz="0" w:space="0" w:color="auto"/>
              <w:right w:val="none" w:sz="0" w:space="0" w:color="auto"/>
            </w:tcBorders>
            <w:vAlign w:val="center"/>
            <w:hideMark/>
          </w:tcPr>
          <w:p w:rsidR="007D6991" w:rsidRPr="00D96EB1" w:rsidRDefault="007D6991" w:rsidP="00D96EB1">
            <w:pPr>
              <w:pStyle w:val="NoSpacing"/>
              <w:jc w:val="center"/>
              <w:cnfStyle w:val="100000000000"/>
              <w:rPr>
                <w:sz w:val="18"/>
                <w:szCs w:val="18"/>
              </w:rPr>
            </w:pPr>
            <w:r w:rsidRPr="00D96EB1">
              <w:rPr>
                <w:sz w:val="18"/>
                <w:szCs w:val="18"/>
                <w:lang w:val="en-ZA"/>
              </w:rPr>
              <w:t>Trade Regime</w:t>
            </w:r>
          </w:p>
        </w:tc>
        <w:tc>
          <w:tcPr>
            <w:tcW w:w="1928" w:type="dxa"/>
            <w:tcBorders>
              <w:top w:val="none" w:sz="0" w:space="0" w:color="auto"/>
              <w:left w:val="none" w:sz="0" w:space="0" w:color="auto"/>
              <w:bottom w:val="none" w:sz="0" w:space="0" w:color="auto"/>
              <w:right w:val="none" w:sz="0" w:space="0" w:color="auto"/>
            </w:tcBorders>
            <w:vAlign w:val="center"/>
            <w:hideMark/>
          </w:tcPr>
          <w:p w:rsidR="007D6991" w:rsidRPr="00D96EB1" w:rsidRDefault="007D6991" w:rsidP="00D96EB1">
            <w:pPr>
              <w:pStyle w:val="NoSpacing"/>
              <w:jc w:val="center"/>
              <w:cnfStyle w:val="100000000000"/>
              <w:rPr>
                <w:sz w:val="18"/>
                <w:szCs w:val="18"/>
              </w:rPr>
            </w:pPr>
          </w:p>
        </w:tc>
      </w:tr>
      <w:tr w:rsidR="00D96EB1" w:rsidRPr="00D96EB1" w:rsidTr="00C861AF">
        <w:trPr>
          <w:cnfStyle w:val="000000100000"/>
          <w:trHeight w:hRule="exact" w:val="415"/>
        </w:trPr>
        <w:tc>
          <w:tcPr>
            <w:cnfStyle w:val="001000000000"/>
            <w:tcW w:w="2512" w:type="dxa"/>
            <w:tcBorders>
              <w:right w:val="none" w:sz="0" w:space="0" w:color="auto"/>
            </w:tcBorders>
            <w:shd w:val="clear" w:color="auto" w:fill="FFFFFF" w:themeFill="background1"/>
            <w:vAlign w:val="center"/>
            <w:hideMark/>
          </w:tcPr>
          <w:p w:rsidR="007D6991" w:rsidRPr="00D96EB1" w:rsidRDefault="007D6991" w:rsidP="00D96EB1">
            <w:pPr>
              <w:pStyle w:val="NoSpacing"/>
              <w:jc w:val="center"/>
              <w:rPr>
                <w:color w:val="0D0D0D" w:themeColor="text1" w:themeTint="F2"/>
                <w:sz w:val="18"/>
                <w:szCs w:val="18"/>
              </w:rPr>
            </w:pPr>
            <w:r w:rsidRPr="00D96EB1">
              <w:rPr>
                <w:color w:val="0D0D0D" w:themeColor="text1" w:themeTint="F2"/>
                <w:sz w:val="18"/>
                <w:szCs w:val="18"/>
              </w:rPr>
              <w:t>South Africa</w:t>
            </w:r>
          </w:p>
        </w:tc>
        <w:tc>
          <w:tcPr>
            <w:tcW w:w="0" w:type="auto"/>
            <w:tcBorders>
              <w:left w:val="none" w:sz="0" w:space="0" w:color="auto"/>
              <w:right w:val="none" w:sz="0" w:space="0" w:color="auto"/>
            </w:tcBorders>
            <w:shd w:val="clear" w:color="auto" w:fill="FFFFFF" w:themeFill="background1"/>
            <w:vAlign w:val="center"/>
            <w:hideMark/>
          </w:tcPr>
          <w:p w:rsidR="007D6991" w:rsidRPr="000321D7" w:rsidRDefault="00340183" w:rsidP="00D96EB1">
            <w:pPr>
              <w:pStyle w:val="NoSpacing"/>
              <w:jc w:val="center"/>
              <w:cnfStyle w:val="000000100000"/>
              <w:rPr>
                <w:sz w:val="16"/>
                <w:szCs w:val="16"/>
              </w:rPr>
            </w:pPr>
            <w:r w:rsidRPr="000321D7">
              <w:rPr>
                <w:sz w:val="16"/>
                <w:szCs w:val="16"/>
              </w:rPr>
              <w:t>0%</w:t>
            </w:r>
          </w:p>
        </w:tc>
        <w:tc>
          <w:tcPr>
            <w:tcW w:w="0" w:type="auto"/>
            <w:tcBorders>
              <w:left w:val="none" w:sz="0" w:space="0" w:color="auto"/>
              <w:right w:val="none" w:sz="0" w:space="0" w:color="auto"/>
            </w:tcBorders>
            <w:shd w:val="clear" w:color="auto" w:fill="FFFFFF" w:themeFill="background1"/>
            <w:vAlign w:val="center"/>
            <w:hideMark/>
          </w:tcPr>
          <w:p w:rsidR="007D6991" w:rsidRPr="000321D7" w:rsidRDefault="00340183" w:rsidP="00D96EB1">
            <w:pPr>
              <w:pStyle w:val="NoSpacing"/>
              <w:jc w:val="center"/>
              <w:cnfStyle w:val="000000100000"/>
              <w:rPr>
                <w:sz w:val="16"/>
                <w:szCs w:val="16"/>
              </w:rPr>
            </w:pPr>
            <w:r w:rsidRPr="000321D7">
              <w:rPr>
                <w:sz w:val="16"/>
                <w:szCs w:val="16"/>
              </w:rPr>
              <w:t>0%</w:t>
            </w:r>
          </w:p>
        </w:tc>
        <w:tc>
          <w:tcPr>
            <w:tcW w:w="1653" w:type="dxa"/>
            <w:tcBorders>
              <w:left w:val="none" w:sz="0" w:space="0" w:color="auto"/>
              <w:right w:val="none" w:sz="0" w:space="0" w:color="auto"/>
            </w:tcBorders>
            <w:shd w:val="clear" w:color="auto" w:fill="FFFFFF" w:themeFill="background1"/>
            <w:vAlign w:val="center"/>
            <w:hideMark/>
          </w:tcPr>
          <w:p w:rsidR="007D6991" w:rsidRPr="000321D7" w:rsidRDefault="000321D7" w:rsidP="00D96EB1">
            <w:pPr>
              <w:pStyle w:val="NoSpacing"/>
              <w:jc w:val="center"/>
              <w:cnfStyle w:val="000000100000"/>
              <w:rPr>
                <w:sz w:val="16"/>
                <w:szCs w:val="16"/>
              </w:rPr>
            </w:pPr>
            <w:r w:rsidRPr="000321D7">
              <w:rPr>
                <w:sz w:val="16"/>
                <w:szCs w:val="16"/>
              </w:rPr>
              <w:t>TDCA</w:t>
            </w:r>
          </w:p>
        </w:tc>
        <w:tc>
          <w:tcPr>
            <w:tcW w:w="1928" w:type="dxa"/>
            <w:tcBorders>
              <w:left w:val="none" w:sz="0" w:space="0" w:color="auto"/>
            </w:tcBorders>
            <w:shd w:val="clear" w:color="auto" w:fill="FFFFFF" w:themeFill="background1"/>
            <w:vAlign w:val="center"/>
            <w:hideMark/>
          </w:tcPr>
          <w:p w:rsidR="007D6991" w:rsidRPr="00D96EB1" w:rsidRDefault="007D6991" w:rsidP="00D96EB1">
            <w:pPr>
              <w:pStyle w:val="NoSpacing"/>
              <w:jc w:val="center"/>
              <w:cnfStyle w:val="000000100000"/>
              <w:rPr>
                <w:b/>
                <w:sz w:val="18"/>
                <w:szCs w:val="18"/>
              </w:rPr>
            </w:pPr>
          </w:p>
        </w:tc>
      </w:tr>
      <w:tr w:rsidR="00D96EB1" w:rsidRPr="00D96EB1" w:rsidTr="00D96EB1">
        <w:trPr>
          <w:cnfStyle w:val="000000010000"/>
          <w:trHeight w:hRule="exact" w:val="654"/>
        </w:trPr>
        <w:tc>
          <w:tcPr>
            <w:cnfStyle w:val="001000000000"/>
            <w:tcW w:w="2512" w:type="dxa"/>
            <w:tcBorders>
              <w:right w:val="none" w:sz="0" w:space="0" w:color="auto"/>
            </w:tcBorders>
            <w:shd w:val="clear" w:color="auto" w:fill="4F81BD" w:themeFill="accent1"/>
            <w:vAlign w:val="center"/>
            <w:hideMark/>
          </w:tcPr>
          <w:p w:rsidR="007D6991" w:rsidRPr="00D96EB1" w:rsidRDefault="007D6991" w:rsidP="00D96EB1">
            <w:pPr>
              <w:pStyle w:val="NoSpacing"/>
              <w:jc w:val="center"/>
              <w:rPr>
                <w:color w:val="FFFFFF" w:themeColor="background1"/>
                <w:sz w:val="18"/>
                <w:szCs w:val="18"/>
              </w:rPr>
            </w:pPr>
            <w:r w:rsidRPr="00D96EB1">
              <w:rPr>
                <w:color w:val="FFFFFF" w:themeColor="background1"/>
                <w:sz w:val="18"/>
                <w:szCs w:val="18"/>
              </w:rPr>
              <w:t>South  Africa’s main competitors in target market</w:t>
            </w:r>
          </w:p>
        </w:tc>
        <w:tc>
          <w:tcPr>
            <w:tcW w:w="0" w:type="auto"/>
            <w:tcBorders>
              <w:left w:val="none" w:sz="0" w:space="0" w:color="auto"/>
              <w:right w:val="none" w:sz="0" w:space="0" w:color="auto"/>
            </w:tcBorders>
            <w:shd w:val="clear" w:color="auto" w:fill="4F81BD" w:themeFill="accent1"/>
            <w:vAlign w:val="center"/>
            <w:hideMark/>
          </w:tcPr>
          <w:p w:rsidR="007D6991" w:rsidRPr="00D96EB1" w:rsidRDefault="007D6991" w:rsidP="00D96EB1">
            <w:pPr>
              <w:pStyle w:val="NoSpacing"/>
              <w:jc w:val="center"/>
              <w:cnfStyle w:val="000000010000"/>
              <w:rPr>
                <w:b/>
                <w:color w:val="FFFFFF" w:themeColor="background1"/>
                <w:sz w:val="18"/>
                <w:szCs w:val="18"/>
              </w:rPr>
            </w:pPr>
            <w:r w:rsidRPr="00D96EB1">
              <w:rPr>
                <w:b/>
                <w:color w:val="FFFFFF" w:themeColor="background1"/>
                <w:sz w:val="18"/>
                <w:szCs w:val="18"/>
                <w:lang w:val="en-ZA"/>
              </w:rPr>
              <w:t>Market share</w:t>
            </w:r>
          </w:p>
        </w:tc>
        <w:tc>
          <w:tcPr>
            <w:tcW w:w="0" w:type="auto"/>
            <w:tcBorders>
              <w:left w:val="none" w:sz="0" w:space="0" w:color="auto"/>
              <w:right w:val="none" w:sz="0" w:space="0" w:color="auto"/>
            </w:tcBorders>
            <w:shd w:val="clear" w:color="auto" w:fill="4F81BD" w:themeFill="accent1"/>
            <w:vAlign w:val="center"/>
            <w:hideMark/>
          </w:tcPr>
          <w:p w:rsidR="007D6991" w:rsidRPr="00D96EB1" w:rsidRDefault="007D6991" w:rsidP="00D96EB1">
            <w:pPr>
              <w:pStyle w:val="NoSpacing"/>
              <w:jc w:val="center"/>
              <w:cnfStyle w:val="000000010000"/>
              <w:rPr>
                <w:b/>
                <w:color w:val="FFFFFF" w:themeColor="background1"/>
                <w:sz w:val="18"/>
                <w:szCs w:val="18"/>
              </w:rPr>
            </w:pPr>
            <w:r w:rsidRPr="00D96EB1">
              <w:rPr>
                <w:b/>
                <w:color w:val="FFFFFF" w:themeColor="background1"/>
                <w:sz w:val="18"/>
                <w:szCs w:val="18"/>
              </w:rPr>
              <w:t>Tariffs faced by competitors</w:t>
            </w:r>
          </w:p>
        </w:tc>
        <w:tc>
          <w:tcPr>
            <w:tcW w:w="1653" w:type="dxa"/>
            <w:tcBorders>
              <w:left w:val="none" w:sz="0" w:space="0" w:color="auto"/>
              <w:right w:val="none" w:sz="0" w:space="0" w:color="auto"/>
            </w:tcBorders>
            <w:shd w:val="clear" w:color="auto" w:fill="4F81BD" w:themeFill="accent1"/>
            <w:vAlign w:val="center"/>
            <w:hideMark/>
          </w:tcPr>
          <w:p w:rsidR="007D6991" w:rsidRPr="00D96EB1" w:rsidRDefault="007D6991" w:rsidP="00D96EB1">
            <w:pPr>
              <w:pStyle w:val="NoSpacing"/>
              <w:jc w:val="center"/>
              <w:cnfStyle w:val="000000010000"/>
              <w:rPr>
                <w:b/>
                <w:color w:val="FFFFFF" w:themeColor="background1"/>
                <w:sz w:val="18"/>
                <w:szCs w:val="18"/>
              </w:rPr>
            </w:pPr>
            <w:r w:rsidRPr="00D96EB1">
              <w:rPr>
                <w:b/>
                <w:color w:val="FFFFFF" w:themeColor="background1"/>
                <w:sz w:val="18"/>
                <w:szCs w:val="18"/>
                <w:lang w:val="en-ZA"/>
              </w:rPr>
              <w:t>Trade Regime</w:t>
            </w:r>
          </w:p>
        </w:tc>
        <w:tc>
          <w:tcPr>
            <w:tcW w:w="1928" w:type="dxa"/>
            <w:tcBorders>
              <w:left w:val="none" w:sz="0" w:space="0" w:color="auto"/>
            </w:tcBorders>
            <w:shd w:val="clear" w:color="auto" w:fill="4F81BD" w:themeFill="accent1"/>
            <w:vAlign w:val="center"/>
            <w:hideMark/>
          </w:tcPr>
          <w:p w:rsidR="00D96EB1" w:rsidRDefault="007D6991" w:rsidP="00D96EB1">
            <w:pPr>
              <w:pStyle w:val="NoSpacing"/>
              <w:jc w:val="center"/>
              <w:cnfStyle w:val="000000010000"/>
              <w:rPr>
                <w:b/>
                <w:color w:val="FFFFFF" w:themeColor="background1"/>
                <w:sz w:val="18"/>
                <w:szCs w:val="18"/>
                <w:lang w:val="en-ZA"/>
              </w:rPr>
            </w:pPr>
            <w:r w:rsidRPr="00D96EB1">
              <w:rPr>
                <w:b/>
                <w:color w:val="FFFFFF" w:themeColor="background1"/>
                <w:sz w:val="18"/>
                <w:szCs w:val="18"/>
                <w:lang w:val="en-ZA"/>
              </w:rPr>
              <w:t>Tariff advantage for South Africa</w:t>
            </w:r>
          </w:p>
          <w:p w:rsidR="007D6991" w:rsidRPr="00D96EB1" w:rsidRDefault="007D6991" w:rsidP="00D96EB1">
            <w:pPr>
              <w:pStyle w:val="NoSpacing"/>
              <w:jc w:val="center"/>
              <w:cnfStyle w:val="000000010000"/>
              <w:rPr>
                <w:b/>
                <w:color w:val="FFFFFF" w:themeColor="background1"/>
                <w:sz w:val="18"/>
                <w:szCs w:val="18"/>
              </w:rPr>
            </w:pPr>
            <w:r w:rsidRPr="00D96EB1">
              <w:rPr>
                <w:b/>
                <w:color w:val="FFFFFF" w:themeColor="background1"/>
                <w:sz w:val="18"/>
                <w:szCs w:val="18"/>
                <w:lang w:val="en-ZA"/>
              </w:rPr>
              <w:t>(yes or no)</w:t>
            </w:r>
          </w:p>
        </w:tc>
      </w:tr>
      <w:tr w:rsidR="000321D7" w:rsidRPr="00D96EB1" w:rsidTr="000321D7">
        <w:trPr>
          <w:cnfStyle w:val="000000100000"/>
          <w:trHeight w:hRule="exact" w:val="415"/>
        </w:trPr>
        <w:tc>
          <w:tcPr>
            <w:cnfStyle w:val="001000000000"/>
            <w:tcW w:w="2512" w:type="dxa"/>
            <w:tcBorders>
              <w:right w:val="none" w:sz="0" w:space="0" w:color="auto"/>
            </w:tcBorders>
            <w:vAlign w:val="center"/>
            <w:hideMark/>
          </w:tcPr>
          <w:p w:rsidR="000321D7" w:rsidRPr="000321D7" w:rsidRDefault="000321D7" w:rsidP="00E41E5A">
            <w:pPr>
              <w:pStyle w:val="ListParagraph"/>
              <w:numPr>
                <w:ilvl w:val="0"/>
                <w:numId w:val="10"/>
              </w:numPr>
              <w:spacing w:before="40" w:after="40"/>
              <w:textAlignment w:val="baseline"/>
              <w:divId w:val="2105412800"/>
              <w:rPr>
                <w:rFonts w:cs="Arial"/>
                <w:sz w:val="16"/>
                <w:szCs w:val="16"/>
              </w:rPr>
            </w:pPr>
            <w:r w:rsidRPr="000321D7">
              <w:rPr>
                <w:i/>
                <w:iCs/>
                <w:color w:val="000000"/>
                <w:kern w:val="24"/>
                <w:sz w:val="16"/>
                <w:szCs w:val="16"/>
              </w:rPr>
              <w:t>France</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rPr>
              <w:t>54.1</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0%</w:t>
            </w:r>
          </w:p>
        </w:tc>
        <w:tc>
          <w:tcPr>
            <w:tcW w:w="1653" w:type="dxa"/>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EU member rate</w:t>
            </w:r>
          </w:p>
        </w:tc>
        <w:tc>
          <w:tcPr>
            <w:tcW w:w="1928" w:type="dxa"/>
            <w:tcBorders>
              <w:lef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No</w:t>
            </w:r>
          </w:p>
        </w:tc>
      </w:tr>
      <w:tr w:rsidR="000321D7" w:rsidRPr="00D96EB1" w:rsidTr="000321D7">
        <w:trPr>
          <w:cnfStyle w:val="000000010000"/>
          <w:trHeight w:hRule="exact" w:val="415"/>
        </w:trPr>
        <w:tc>
          <w:tcPr>
            <w:cnfStyle w:val="001000000000"/>
            <w:tcW w:w="2512" w:type="dxa"/>
            <w:tcBorders>
              <w:right w:val="none" w:sz="0" w:space="0" w:color="auto"/>
            </w:tcBorders>
            <w:vAlign w:val="center"/>
            <w:hideMark/>
          </w:tcPr>
          <w:p w:rsidR="000321D7" w:rsidRPr="000321D7" w:rsidRDefault="000321D7" w:rsidP="00E41E5A">
            <w:pPr>
              <w:pStyle w:val="ListParagraph"/>
              <w:numPr>
                <w:ilvl w:val="0"/>
                <w:numId w:val="10"/>
              </w:numPr>
              <w:textAlignment w:val="baseline"/>
              <w:divId w:val="1764256559"/>
              <w:rPr>
                <w:rFonts w:cs="Arial"/>
                <w:sz w:val="16"/>
                <w:szCs w:val="16"/>
              </w:rPr>
            </w:pPr>
            <w:r w:rsidRPr="000321D7">
              <w:rPr>
                <w:i/>
                <w:iCs/>
                <w:color w:val="000000"/>
                <w:kern w:val="24"/>
                <w:sz w:val="16"/>
                <w:szCs w:val="16"/>
              </w:rPr>
              <w:t>Netherlands</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21.3</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0%</w:t>
            </w:r>
          </w:p>
        </w:tc>
        <w:tc>
          <w:tcPr>
            <w:tcW w:w="1653" w:type="dxa"/>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EU member rate</w:t>
            </w:r>
          </w:p>
        </w:tc>
        <w:tc>
          <w:tcPr>
            <w:tcW w:w="1928" w:type="dxa"/>
            <w:tcBorders>
              <w:lef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No</w:t>
            </w:r>
          </w:p>
        </w:tc>
      </w:tr>
      <w:tr w:rsidR="000321D7" w:rsidRPr="00D96EB1" w:rsidTr="000321D7">
        <w:trPr>
          <w:cnfStyle w:val="000000100000"/>
          <w:trHeight w:hRule="exact" w:val="543"/>
        </w:trPr>
        <w:tc>
          <w:tcPr>
            <w:cnfStyle w:val="001000000000"/>
            <w:tcW w:w="2512" w:type="dxa"/>
            <w:tcBorders>
              <w:right w:val="none" w:sz="0" w:space="0" w:color="auto"/>
            </w:tcBorders>
            <w:vAlign w:val="center"/>
            <w:hideMark/>
          </w:tcPr>
          <w:p w:rsidR="000321D7" w:rsidRPr="000321D7" w:rsidRDefault="000321D7" w:rsidP="00E41E5A">
            <w:pPr>
              <w:pStyle w:val="ListParagraph"/>
              <w:numPr>
                <w:ilvl w:val="0"/>
                <w:numId w:val="10"/>
              </w:numPr>
              <w:textAlignment w:val="baseline"/>
              <w:divId w:val="1298954187"/>
              <w:rPr>
                <w:rFonts w:cs="Arial"/>
                <w:sz w:val="16"/>
                <w:szCs w:val="16"/>
              </w:rPr>
            </w:pPr>
            <w:r w:rsidRPr="000321D7">
              <w:rPr>
                <w:i/>
                <w:iCs/>
                <w:color w:val="000000"/>
                <w:kern w:val="24"/>
                <w:sz w:val="16"/>
                <w:szCs w:val="16"/>
              </w:rPr>
              <w:t>Belgium</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9.2</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0%</w:t>
            </w:r>
          </w:p>
        </w:tc>
        <w:tc>
          <w:tcPr>
            <w:tcW w:w="1653" w:type="dxa"/>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EU member rate</w:t>
            </w:r>
          </w:p>
        </w:tc>
        <w:tc>
          <w:tcPr>
            <w:tcW w:w="1928" w:type="dxa"/>
            <w:tcBorders>
              <w:lef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No</w:t>
            </w:r>
          </w:p>
        </w:tc>
      </w:tr>
      <w:tr w:rsidR="000321D7" w:rsidRPr="00D96EB1" w:rsidTr="000321D7">
        <w:trPr>
          <w:cnfStyle w:val="000000010000"/>
          <w:trHeight w:hRule="exact" w:val="707"/>
        </w:trPr>
        <w:tc>
          <w:tcPr>
            <w:cnfStyle w:val="001000000000"/>
            <w:tcW w:w="2512" w:type="dxa"/>
            <w:tcBorders>
              <w:right w:val="none" w:sz="0" w:space="0" w:color="auto"/>
            </w:tcBorders>
            <w:vAlign w:val="center"/>
            <w:hideMark/>
          </w:tcPr>
          <w:p w:rsidR="000321D7" w:rsidRPr="000321D7" w:rsidRDefault="000321D7" w:rsidP="000321D7">
            <w:pPr>
              <w:pStyle w:val="NormalWeb"/>
              <w:spacing w:before="40" w:beforeAutospacing="0" w:after="40" w:afterAutospacing="0"/>
              <w:textAlignment w:val="baseline"/>
              <w:rPr>
                <w:sz w:val="16"/>
                <w:szCs w:val="16"/>
              </w:rPr>
            </w:pPr>
            <w:r>
              <w:rPr>
                <w:i/>
                <w:iCs/>
                <w:color w:val="000000"/>
                <w:kern w:val="24"/>
                <w:sz w:val="16"/>
                <w:szCs w:val="16"/>
              </w:rPr>
              <w:t xml:space="preserve">4.      </w:t>
            </w:r>
            <w:r w:rsidRPr="000321D7">
              <w:rPr>
                <w:i/>
                <w:iCs/>
                <w:color w:val="000000"/>
                <w:kern w:val="24"/>
                <w:sz w:val="16"/>
                <w:szCs w:val="16"/>
              </w:rPr>
              <w:t xml:space="preserve">Argentina </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8.7</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6.2%</w:t>
            </w:r>
          </w:p>
        </w:tc>
        <w:tc>
          <w:tcPr>
            <w:tcW w:w="1653" w:type="dxa"/>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 xml:space="preserve">Preferential tariff awarded </w:t>
            </w:r>
            <w:r>
              <w:rPr>
                <w:iCs/>
                <w:color w:val="000000"/>
                <w:kern w:val="24"/>
                <w:sz w:val="16"/>
                <w:szCs w:val="16"/>
                <w:lang w:val="en-US"/>
              </w:rPr>
              <w:t>under the</w:t>
            </w:r>
            <w:r w:rsidRPr="000321D7">
              <w:rPr>
                <w:iCs/>
                <w:color w:val="000000"/>
                <w:kern w:val="24"/>
                <w:sz w:val="16"/>
                <w:szCs w:val="16"/>
                <w:lang w:val="en-US"/>
              </w:rPr>
              <w:t xml:space="preserve">  GSP </w:t>
            </w:r>
          </w:p>
        </w:tc>
        <w:tc>
          <w:tcPr>
            <w:tcW w:w="1928" w:type="dxa"/>
            <w:tcBorders>
              <w:lef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010000"/>
              <w:rPr>
                <w:sz w:val="16"/>
                <w:szCs w:val="16"/>
              </w:rPr>
            </w:pPr>
            <w:r w:rsidRPr="000321D7">
              <w:rPr>
                <w:iCs/>
                <w:color w:val="000000"/>
                <w:kern w:val="24"/>
                <w:sz w:val="16"/>
                <w:szCs w:val="16"/>
                <w:lang w:val="en-US"/>
              </w:rPr>
              <w:t>Yes</w:t>
            </w:r>
          </w:p>
        </w:tc>
      </w:tr>
      <w:tr w:rsidR="000321D7" w:rsidRPr="00D96EB1" w:rsidTr="000321D7">
        <w:trPr>
          <w:cnfStyle w:val="000000100000"/>
          <w:trHeight w:hRule="exact" w:val="415"/>
        </w:trPr>
        <w:tc>
          <w:tcPr>
            <w:cnfStyle w:val="001000000000"/>
            <w:tcW w:w="2512" w:type="dxa"/>
            <w:tcBorders>
              <w:right w:val="none" w:sz="0" w:space="0" w:color="auto"/>
            </w:tcBorders>
            <w:vAlign w:val="center"/>
            <w:hideMark/>
          </w:tcPr>
          <w:p w:rsidR="000321D7" w:rsidRPr="000321D7" w:rsidRDefault="000321D7" w:rsidP="000321D7">
            <w:pPr>
              <w:pStyle w:val="NormalWeb"/>
              <w:spacing w:before="40" w:beforeAutospacing="0" w:after="40" w:afterAutospacing="0"/>
              <w:textAlignment w:val="baseline"/>
              <w:rPr>
                <w:sz w:val="16"/>
                <w:szCs w:val="16"/>
              </w:rPr>
            </w:pPr>
            <w:r>
              <w:rPr>
                <w:i/>
                <w:iCs/>
                <w:color w:val="000000"/>
                <w:kern w:val="24"/>
                <w:sz w:val="16"/>
                <w:szCs w:val="16"/>
                <w:lang w:val="fr-CH"/>
              </w:rPr>
              <w:t xml:space="preserve">5.     </w:t>
            </w:r>
            <w:r w:rsidRPr="000321D7">
              <w:rPr>
                <w:i/>
                <w:iCs/>
                <w:color w:val="000000"/>
                <w:kern w:val="24"/>
                <w:sz w:val="16"/>
                <w:szCs w:val="16"/>
                <w:lang w:val="fr-CH"/>
              </w:rPr>
              <w:t>Germany</w:t>
            </w:r>
            <w:r w:rsidRPr="000321D7">
              <w:rPr>
                <w:i/>
                <w:iCs/>
                <w:color w:val="000000"/>
                <w:kern w:val="24"/>
                <w:sz w:val="16"/>
                <w:szCs w:val="16"/>
                <w:lang w:val="en-US"/>
              </w:rPr>
              <w:t xml:space="preserve"> </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5.7</w:t>
            </w:r>
          </w:p>
        </w:tc>
        <w:tc>
          <w:tcPr>
            <w:tcW w:w="0" w:type="auto"/>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0%</w:t>
            </w:r>
          </w:p>
        </w:tc>
        <w:tc>
          <w:tcPr>
            <w:tcW w:w="1653" w:type="dxa"/>
            <w:tcBorders>
              <w:left w:val="none" w:sz="0" w:space="0" w:color="auto"/>
              <w:righ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EU member rate</w:t>
            </w:r>
          </w:p>
        </w:tc>
        <w:tc>
          <w:tcPr>
            <w:tcW w:w="1928" w:type="dxa"/>
            <w:tcBorders>
              <w:left w:val="none" w:sz="0" w:space="0" w:color="auto"/>
            </w:tcBorders>
            <w:vAlign w:val="center"/>
            <w:hideMark/>
          </w:tcPr>
          <w:p w:rsidR="000321D7" w:rsidRPr="000321D7" w:rsidRDefault="000321D7" w:rsidP="000321D7">
            <w:pPr>
              <w:pStyle w:val="NormalWeb"/>
              <w:spacing w:before="40" w:beforeAutospacing="0" w:after="40" w:afterAutospacing="0"/>
              <w:jc w:val="center"/>
              <w:textAlignment w:val="baseline"/>
              <w:cnfStyle w:val="000000100000"/>
              <w:rPr>
                <w:sz w:val="16"/>
                <w:szCs w:val="16"/>
              </w:rPr>
            </w:pPr>
            <w:r w:rsidRPr="000321D7">
              <w:rPr>
                <w:iCs/>
                <w:color w:val="000000"/>
                <w:kern w:val="24"/>
                <w:sz w:val="16"/>
                <w:szCs w:val="16"/>
                <w:lang w:val="en-US"/>
              </w:rPr>
              <w:t>No</w:t>
            </w:r>
          </w:p>
        </w:tc>
      </w:tr>
    </w:tbl>
    <w:p w:rsidR="004422E1" w:rsidRPr="0097437C" w:rsidRDefault="004422E1">
      <w:pPr>
        <w:pStyle w:val="Heading2"/>
        <w:rPr>
          <w:i w:val="0"/>
          <w:sz w:val="20"/>
          <w:szCs w:val="20"/>
          <w:u w:val="single"/>
        </w:rPr>
      </w:pPr>
      <w:bookmarkStart w:id="21" w:name="_Toc290627304"/>
      <w:r w:rsidRPr="0097437C">
        <w:rPr>
          <w:i w:val="0"/>
          <w:sz w:val="20"/>
          <w:szCs w:val="20"/>
          <w:u w:val="single"/>
        </w:rPr>
        <w:t>Non-tariff measures</w:t>
      </w:r>
      <w:bookmarkEnd w:id="21"/>
    </w:p>
    <w:p w:rsidR="00A855BC" w:rsidRPr="0097437C" w:rsidRDefault="00A855BC" w:rsidP="00A855BC">
      <w:pPr>
        <w:rPr>
          <w:sz w:val="20"/>
          <w:szCs w:val="20"/>
        </w:rPr>
      </w:pPr>
    </w:p>
    <w:p w:rsidR="007440E8" w:rsidRPr="0097437C" w:rsidRDefault="000F623B" w:rsidP="00AF7188">
      <w:pPr>
        <w:jc w:val="both"/>
        <w:rPr>
          <w:rFonts w:cs="Arial"/>
          <w:sz w:val="20"/>
          <w:szCs w:val="20"/>
        </w:rPr>
      </w:pPr>
      <w:r w:rsidRPr="0097437C">
        <w:rPr>
          <w:sz w:val="20"/>
          <w:szCs w:val="20"/>
        </w:rPr>
        <w:t>The n</w:t>
      </w:r>
      <w:r w:rsidR="00046459" w:rsidRPr="0097437C">
        <w:rPr>
          <w:sz w:val="20"/>
          <w:szCs w:val="20"/>
        </w:rPr>
        <w:t xml:space="preserve">on-tariff measures that South African exporters will face in the </w:t>
      </w:r>
      <w:r w:rsidRPr="0097437C">
        <w:rPr>
          <w:sz w:val="20"/>
          <w:szCs w:val="20"/>
        </w:rPr>
        <w:t>UK market can be divided into</w:t>
      </w:r>
      <w:r w:rsidR="00046459" w:rsidRPr="0097437C">
        <w:rPr>
          <w:sz w:val="20"/>
          <w:szCs w:val="20"/>
        </w:rPr>
        <w:t xml:space="preserve"> mandatory and vo</w:t>
      </w:r>
      <w:r w:rsidR="00183E1C" w:rsidRPr="0097437C">
        <w:rPr>
          <w:sz w:val="20"/>
          <w:szCs w:val="20"/>
        </w:rPr>
        <w:t>luntary measures</w:t>
      </w:r>
      <w:r w:rsidR="00046459" w:rsidRPr="0097437C">
        <w:rPr>
          <w:sz w:val="20"/>
          <w:szCs w:val="20"/>
        </w:rPr>
        <w:t xml:space="preserve">. </w:t>
      </w:r>
    </w:p>
    <w:p w:rsidR="007440E8" w:rsidRPr="0097437C" w:rsidRDefault="007440E8" w:rsidP="00AF7188">
      <w:pPr>
        <w:jc w:val="both"/>
        <w:rPr>
          <w:rFonts w:cs="Arial"/>
          <w:sz w:val="20"/>
          <w:szCs w:val="20"/>
        </w:rPr>
      </w:pPr>
    </w:p>
    <w:p w:rsidR="007440E8" w:rsidRPr="0097437C" w:rsidRDefault="009E32B7" w:rsidP="009E32B7">
      <w:pPr>
        <w:jc w:val="both"/>
        <w:rPr>
          <w:rFonts w:cs="Arial"/>
          <w:b/>
          <w:sz w:val="20"/>
          <w:szCs w:val="20"/>
          <w:u w:val="single"/>
        </w:rPr>
      </w:pPr>
      <w:r w:rsidRPr="0097437C">
        <w:rPr>
          <w:rFonts w:cs="Arial"/>
          <w:b/>
          <w:sz w:val="20"/>
          <w:szCs w:val="20"/>
          <w:u w:val="single"/>
        </w:rPr>
        <w:t>Mandatory measures:</w:t>
      </w:r>
    </w:p>
    <w:p w:rsidR="00183E1C" w:rsidRPr="0097437C" w:rsidRDefault="00183E1C" w:rsidP="009E32B7">
      <w:pPr>
        <w:jc w:val="both"/>
        <w:rPr>
          <w:rFonts w:cs="Arial"/>
          <w:b/>
          <w:sz w:val="20"/>
          <w:szCs w:val="20"/>
          <w:u w:val="single"/>
        </w:rPr>
      </w:pPr>
    </w:p>
    <w:p w:rsidR="00183E1C" w:rsidRPr="0097437C" w:rsidRDefault="00183E1C" w:rsidP="00183E1C">
      <w:pPr>
        <w:jc w:val="both"/>
        <w:rPr>
          <w:rFonts w:cs="Arial"/>
          <w:sz w:val="20"/>
          <w:szCs w:val="20"/>
        </w:rPr>
      </w:pPr>
      <w:r w:rsidRPr="0097437C">
        <w:rPr>
          <w:sz w:val="20"/>
          <w:szCs w:val="20"/>
        </w:rPr>
        <w:t>Mandatory measures are enforced by government entities to ensure that sunflower oil placed on the UK market is safe to consume and does not contain contaminants at levels which could threaten human health</w:t>
      </w:r>
      <w:r w:rsidRPr="0097437C">
        <w:rPr>
          <w:rFonts w:cs="Arial"/>
          <w:sz w:val="20"/>
          <w:szCs w:val="20"/>
        </w:rPr>
        <w:t xml:space="preserve">. The requirements of these measures must be met before sunflower oil will be allowed into the UK. These measures will be enforced in South Africa, the European Union and the UK itself. For or more information regarding the requirements of these regulatory entities, please refer to </w:t>
      </w:r>
      <w:r w:rsidR="004B483D" w:rsidRPr="0097437C">
        <w:rPr>
          <w:rFonts w:cs="Arial"/>
          <w:sz w:val="20"/>
          <w:szCs w:val="20"/>
        </w:rPr>
        <w:t>Annex 5</w:t>
      </w:r>
      <w:r w:rsidRPr="0097437C">
        <w:rPr>
          <w:rFonts w:cs="Arial"/>
          <w:sz w:val="20"/>
          <w:szCs w:val="20"/>
        </w:rPr>
        <w:t>.</w:t>
      </w:r>
    </w:p>
    <w:p w:rsidR="00024D18" w:rsidRPr="0097437C" w:rsidRDefault="00024D18" w:rsidP="00AF7188">
      <w:pPr>
        <w:jc w:val="both"/>
        <w:rPr>
          <w:rFonts w:cs="Arial"/>
          <w:sz w:val="20"/>
          <w:szCs w:val="20"/>
        </w:rPr>
      </w:pPr>
    </w:p>
    <w:p w:rsidR="00183E1C" w:rsidRPr="0097437C" w:rsidRDefault="00183E1C" w:rsidP="00AF7188">
      <w:pPr>
        <w:jc w:val="both"/>
        <w:rPr>
          <w:rFonts w:cs="Arial"/>
          <w:sz w:val="20"/>
          <w:szCs w:val="20"/>
        </w:rPr>
      </w:pPr>
    </w:p>
    <w:p w:rsidR="00A855BC" w:rsidRPr="0097437C" w:rsidRDefault="00183E1C" w:rsidP="00AF7188">
      <w:pPr>
        <w:jc w:val="both"/>
        <w:rPr>
          <w:rFonts w:cs="Arial"/>
          <w:b/>
          <w:sz w:val="20"/>
          <w:szCs w:val="20"/>
          <w:u w:val="single"/>
        </w:rPr>
      </w:pPr>
      <w:r w:rsidRPr="0097437C">
        <w:rPr>
          <w:rFonts w:cs="Arial"/>
          <w:b/>
          <w:sz w:val="20"/>
          <w:szCs w:val="20"/>
          <w:u w:val="single"/>
        </w:rPr>
        <w:t>South African regulations:</w:t>
      </w:r>
    </w:p>
    <w:p w:rsidR="009A2F9B" w:rsidRPr="0097437C" w:rsidRDefault="009A2F9B" w:rsidP="009A2F9B">
      <w:pPr>
        <w:rPr>
          <w:rFonts w:cs="Arial"/>
          <w:sz w:val="20"/>
          <w:szCs w:val="20"/>
        </w:rPr>
      </w:pPr>
    </w:p>
    <w:p w:rsidR="00183E1C" w:rsidRPr="0097437C" w:rsidRDefault="00530B3B" w:rsidP="00530B3B">
      <w:pPr>
        <w:jc w:val="both"/>
        <w:rPr>
          <w:rFonts w:cs="Arial"/>
          <w:sz w:val="20"/>
          <w:szCs w:val="20"/>
        </w:rPr>
      </w:pPr>
      <w:r w:rsidRPr="0097437C">
        <w:rPr>
          <w:rFonts w:cs="Arial"/>
          <w:sz w:val="20"/>
          <w:szCs w:val="20"/>
        </w:rPr>
        <w:t xml:space="preserve">South Africa sunflower oil destined for exports must first meet the requirements of the Agricultural Products Standards Act 119 of 1990; the Foodstuffs, Cosmetics and Disinfectants Amendment Act, </w:t>
      </w:r>
      <w:r w:rsidRPr="0097437C">
        <w:rPr>
          <w:rFonts w:cs="Arial"/>
          <w:sz w:val="20"/>
          <w:szCs w:val="20"/>
        </w:rPr>
        <w:lastRenderedPageBreak/>
        <w:t>No. 39 of 2007; and the Health Act of 1977. A brief description of these requirements will be discussed.</w:t>
      </w:r>
    </w:p>
    <w:p w:rsidR="00183E1C" w:rsidRPr="0097437C" w:rsidRDefault="00183E1C" w:rsidP="008A6F0B">
      <w:pPr>
        <w:jc w:val="both"/>
        <w:rPr>
          <w:rFonts w:cs="Arial"/>
          <w:sz w:val="20"/>
          <w:szCs w:val="20"/>
        </w:rPr>
      </w:pPr>
    </w:p>
    <w:p w:rsidR="00AF7188" w:rsidRPr="0097437C" w:rsidRDefault="00530B3B" w:rsidP="008A6F0B">
      <w:pPr>
        <w:jc w:val="both"/>
        <w:rPr>
          <w:rFonts w:cs="Arial"/>
          <w:sz w:val="20"/>
          <w:szCs w:val="20"/>
        </w:rPr>
      </w:pPr>
      <w:r w:rsidRPr="0097437C">
        <w:rPr>
          <w:rFonts w:cs="Arial"/>
          <w:sz w:val="20"/>
          <w:szCs w:val="20"/>
        </w:rPr>
        <w:t>Firstly, s</w:t>
      </w:r>
      <w:r w:rsidR="009A2F9B" w:rsidRPr="0097437C">
        <w:rPr>
          <w:rFonts w:cs="Arial"/>
          <w:sz w:val="20"/>
          <w:szCs w:val="20"/>
        </w:rPr>
        <w:t>tandards regarding food safety and food hygiene of regulated agricultural food products of</w:t>
      </w:r>
      <w:r w:rsidR="008A6F0B" w:rsidRPr="0097437C">
        <w:rPr>
          <w:rFonts w:cs="Arial"/>
          <w:sz w:val="20"/>
          <w:szCs w:val="20"/>
        </w:rPr>
        <w:t xml:space="preserve"> </w:t>
      </w:r>
      <w:r w:rsidR="009A2F9B" w:rsidRPr="0097437C">
        <w:rPr>
          <w:rFonts w:cs="Arial"/>
          <w:sz w:val="20"/>
          <w:szCs w:val="20"/>
        </w:rPr>
        <w:t>plant origin destined for export</w:t>
      </w:r>
      <w:r w:rsidR="00742554" w:rsidRPr="0097437C">
        <w:rPr>
          <w:rFonts w:cs="Arial"/>
          <w:sz w:val="20"/>
          <w:szCs w:val="20"/>
        </w:rPr>
        <w:t>,</w:t>
      </w:r>
      <w:r w:rsidR="009A2F9B" w:rsidRPr="0097437C">
        <w:rPr>
          <w:rFonts w:cs="Arial"/>
          <w:sz w:val="20"/>
          <w:szCs w:val="20"/>
        </w:rPr>
        <w:t xml:space="preserve"> as stipulated under </w:t>
      </w:r>
      <w:r w:rsidR="009A2F9B" w:rsidRPr="0097437C">
        <w:rPr>
          <w:rFonts w:cs="Arial"/>
          <w:b/>
          <w:sz w:val="20"/>
          <w:szCs w:val="20"/>
        </w:rPr>
        <w:t>4(3)(a)(ii) of the Agricultural Products</w:t>
      </w:r>
      <w:r w:rsidR="008A6F0B" w:rsidRPr="0097437C">
        <w:rPr>
          <w:rFonts w:cs="Arial"/>
          <w:b/>
          <w:sz w:val="20"/>
          <w:szCs w:val="20"/>
        </w:rPr>
        <w:t xml:space="preserve"> </w:t>
      </w:r>
      <w:r w:rsidRPr="0097437C">
        <w:rPr>
          <w:rFonts w:cs="Arial"/>
          <w:b/>
          <w:sz w:val="20"/>
          <w:szCs w:val="20"/>
        </w:rPr>
        <w:t>Standards Act 119 of 1990</w:t>
      </w:r>
      <w:r w:rsidR="009A2F9B" w:rsidRPr="0097437C">
        <w:rPr>
          <w:rFonts w:cs="Arial"/>
          <w:sz w:val="20"/>
          <w:szCs w:val="20"/>
        </w:rPr>
        <w:t xml:space="preserve"> sets out strict controls</w:t>
      </w:r>
      <w:r w:rsidR="008A6F0B" w:rsidRPr="0097437C">
        <w:rPr>
          <w:rFonts w:cs="Arial"/>
          <w:sz w:val="20"/>
          <w:szCs w:val="20"/>
        </w:rPr>
        <w:t xml:space="preserve"> </w:t>
      </w:r>
      <w:r w:rsidR="009A2F9B" w:rsidRPr="0097437C">
        <w:rPr>
          <w:rFonts w:cs="Arial"/>
          <w:sz w:val="20"/>
          <w:szCs w:val="20"/>
        </w:rPr>
        <w:t>over food safety and hygiene, production, harvesting, on-site packaging and cold storage for</w:t>
      </w:r>
      <w:r w:rsidR="008A6F0B" w:rsidRPr="0097437C">
        <w:rPr>
          <w:rFonts w:cs="Arial"/>
          <w:sz w:val="20"/>
          <w:szCs w:val="20"/>
        </w:rPr>
        <w:t xml:space="preserve"> </w:t>
      </w:r>
      <w:r w:rsidR="009A2F9B" w:rsidRPr="0097437C">
        <w:rPr>
          <w:rFonts w:cs="Arial"/>
          <w:sz w:val="20"/>
          <w:szCs w:val="20"/>
        </w:rPr>
        <w:t>products designed for export. The records to be kept are very detailed, from the chemicals</w:t>
      </w:r>
      <w:r w:rsidR="008A6F0B" w:rsidRPr="0097437C">
        <w:rPr>
          <w:rFonts w:cs="Arial"/>
          <w:sz w:val="20"/>
          <w:szCs w:val="20"/>
        </w:rPr>
        <w:t xml:space="preserve"> </w:t>
      </w:r>
      <w:r w:rsidR="009A2F9B" w:rsidRPr="0097437C">
        <w:rPr>
          <w:rFonts w:cs="Arial"/>
          <w:sz w:val="20"/>
          <w:szCs w:val="20"/>
        </w:rPr>
        <w:t>used on the crops to records for e</w:t>
      </w:r>
      <w:r w:rsidR="00742554" w:rsidRPr="0097437C">
        <w:rPr>
          <w:rFonts w:cs="Arial"/>
          <w:sz w:val="20"/>
          <w:szCs w:val="20"/>
        </w:rPr>
        <w:t>ach field, orchard or greenhouse (Whoswho Reports, 2010)</w:t>
      </w:r>
      <w:r w:rsidR="009A2F9B" w:rsidRPr="0097437C">
        <w:rPr>
          <w:rFonts w:cs="Arial"/>
          <w:sz w:val="20"/>
          <w:szCs w:val="20"/>
        </w:rPr>
        <w:t>.</w:t>
      </w:r>
    </w:p>
    <w:p w:rsidR="009A2F9B" w:rsidRPr="0097437C" w:rsidRDefault="009A2F9B" w:rsidP="009A2F9B">
      <w:pPr>
        <w:rPr>
          <w:rFonts w:cs="Arial"/>
          <w:sz w:val="20"/>
          <w:szCs w:val="20"/>
        </w:rPr>
      </w:pPr>
    </w:p>
    <w:p w:rsidR="009A2F9B" w:rsidRPr="0097437C" w:rsidRDefault="009A2F9B" w:rsidP="008A6F0B">
      <w:pPr>
        <w:jc w:val="both"/>
        <w:rPr>
          <w:rFonts w:cs="Arial"/>
          <w:sz w:val="20"/>
          <w:szCs w:val="20"/>
        </w:rPr>
      </w:pPr>
      <w:r w:rsidRPr="0097437C">
        <w:rPr>
          <w:rFonts w:cs="Arial"/>
          <w:sz w:val="20"/>
          <w:szCs w:val="20"/>
        </w:rPr>
        <w:t xml:space="preserve">The </w:t>
      </w:r>
      <w:r w:rsidRPr="0097437C">
        <w:rPr>
          <w:rFonts w:cs="Arial"/>
          <w:b/>
          <w:sz w:val="20"/>
          <w:szCs w:val="20"/>
        </w:rPr>
        <w:t>Foodstuffs,</w:t>
      </w:r>
      <w:r w:rsidR="008A6F0B" w:rsidRPr="0097437C">
        <w:rPr>
          <w:rFonts w:cs="Arial"/>
          <w:b/>
          <w:sz w:val="20"/>
          <w:szCs w:val="20"/>
        </w:rPr>
        <w:t xml:space="preserve"> Cosmetics and </w:t>
      </w:r>
      <w:r w:rsidRPr="0097437C">
        <w:rPr>
          <w:rFonts w:cs="Arial"/>
          <w:b/>
          <w:sz w:val="20"/>
          <w:szCs w:val="20"/>
        </w:rPr>
        <w:t>Disinfectants Amendment Act, No. 39 of 2007</w:t>
      </w:r>
      <w:r w:rsidR="008A6F0B" w:rsidRPr="0097437C">
        <w:rPr>
          <w:rFonts w:cs="Arial"/>
          <w:sz w:val="20"/>
          <w:szCs w:val="20"/>
        </w:rPr>
        <w:t xml:space="preserve"> </w:t>
      </w:r>
      <w:r w:rsidRPr="0097437C">
        <w:rPr>
          <w:rFonts w:cs="Arial"/>
          <w:sz w:val="20"/>
          <w:szCs w:val="20"/>
        </w:rPr>
        <w:t>is designed to control the sale, manufacture, importation and exportation of foodstuffs,</w:t>
      </w:r>
      <w:r w:rsidR="008A6F0B" w:rsidRPr="0097437C">
        <w:rPr>
          <w:rFonts w:cs="Arial"/>
          <w:sz w:val="20"/>
          <w:szCs w:val="20"/>
        </w:rPr>
        <w:t xml:space="preserve"> </w:t>
      </w:r>
      <w:r w:rsidRPr="0097437C">
        <w:rPr>
          <w:rFonts w:cs="Arial"/>
          <w:sz w:val="20"/>
          <w:szCs w:val="20"/>
        </w:rPr>
        <w:t>cosmetics and disinfectants; and to provide for incidental matters. The Act serves to impose</w:t>
      </w:r>
      <w:r w:rsidR="008A6F0B" w:rsidRPr="0097437C">
        <w:rPr>
          <w:rFonts w:cs="Arial"/>
          <w:sz w:val="20"/>
          <w:szCs w:val="20"/>
        </w:rPr>
        <w:t xml:space="preserve"> </w:t>
      </w:r>
      <w:r w:rsidRPr="0097437C">
        <w:rPr>
          <w:rFonts w:cs="Arial"/>
          <w:sz w:val="20"/>
          <w:szCs w:val="20"/>
        </w:rPr>
        <w:t>additional checks and balances on the named industries, including those encompassing fats</w:t>
      </w:r>
      <w:r w:rsidR="008A6F0B" w:rsidRPr="0097437C">
        <w:rPr>
          <w:rFonts w:cs="Arial"/>
          <w:sz w:val="20"/>
          <w:szCs w:val="20"/>
        </w:rPr>
        <w:t xml:space="preserve"> </w:t>
      </w:r>
      <w:r w:rsidRPr="0097437C">
        <w:rPr>
          <w:rFonts w:cs="Arial"/>
          <w:sz w:val="20"/>
          <w:szCs w:val="20"/>
        </w:rPr>
        <w:t>and oils, ensuring regular inspections of all phases of the production line and prescribing</w:t>
      </w:r>
      <w:r w:rsidR="008A6F0B" w:rsidRPr="0097437C">
        <w:rPr>
          <w:rFonts w:cs="Arial"/>
          <w:sz w:val="20"/>
          <w:szCs w:val="20"/>
        </w:rPr>
        <w:t xml:space="preserve"> </w:t>
      </w:r>
      <w:r w:rsidRPr="0097437C">
        <w:rPr>
          <w:rFonts w:cs="Arial"/>
          <w:sz w:val="20"/>
          <w:szCs w:val="20"/>
        </w:rPr>
        <w:t>penalties on transgressors.</w:t>
      </w:r>
      <w:r w:rsidR="008A6F0B" w:rsidRPr="0097437C">
        <w:rPr>
          <w:rFonts w:cs="Arial"/>
          <w:sz w:val="20"/>
          <w:szCs w:val="20"/>
        </w:rPr>
        <w:t xml:space="preserve"> </w:t>
      </w:r>
    </w:p>
    <w:p w:rsidR="008A6F0B" w:rsidRPr="0097437C" w:rsidRDefault="008A6F0B" w:rsidP="008A6F0B">
      <w:pPr>
        <w:jc w:val="both"/>
        <w:rPr>
          <w:rFonts w:cs="Arial"/>
          <w:sz w:val="20"/>
          <w:szCs w:val="20"/>
        </w:rPr>
      </w:pPr>
    </w:p>
    <w:p w:rsidR="00AF7188" w:rsidRPr="0097437C" w:rsidRDefault="00742554" w:rsidP="004B483D">
      <w:pPr>
        <w:jc w:val="both"/>
        <w:rPr>
          <w:rFonts w:cs="Arial"/>
          <w:sz w:val="20"/>
          <w:szCs w:val="20"/>
        </w:rPr>
      </w:pPr>
      <w:r w:rsidRPr="0097437C">
        <w:rPr>
          <w:rFonts w:cs="Arial"/>
          <w:sz w:val="20"/>
          <w:szCs w:val="20"/>
        </w:rPr>
        <w:t>Lastly,</w:t>
      </w:r>
      <w:r w:rsidR="009A2F9B" w:rsidRPr="0097437C">
        <w:rPr>
          <w:rFonts w:cs="Arial"/>
          <w:sz w:val="20"/>
          <w:szCs w:val="20"/>
        </w:rPr>
        <w:t xml:space="preserve"> the </w:t>
      </w:r>
      <w:r w:rsidRPr="0097437C">
        <w:rPr>
          <w:rFonts w:cs="Arial"/>
          <w:b/>
          <w:sz w:val="20"/>
          <w:szCs w:val="20"/>
        </w:rPr>
        <w:t xml:space="preserve">Health Act of 1977 </w:t>
      </w:r>
      <w:r w:rsidRPr="0097437C">
        <w:rPr>
          <w:rFonts w:cs="Arial"/>
          <w:sz w:val="20"/>
          <w:szCs w:val="20"/>
        </w:rPr>
        <w:t xml:space="preserve">regulates </w:t>
      </w:r>
      <w:r w:rsidR="009A2F9B" w:rsidRPr="0097437C">
        <w:rPr>
          <w:rFonts w:cs="Arial"/>
          <w:sz w:val="20"/>
          <w:szCs w:val="20"/>
        </w:rPr>
        <w:t>the standards and</w:t>
      </w:r>
      <w:r w:rsidR="008A6F0B" w:rsidRPr="0097437C">
        <w:rPr>
          <w:rFonts w:cs="Arial"/>
          <w:sz w:val="20"/>
          <w:szCs w:val="20"/>
        </w:rPr>
        <w:t xml:space="preserve"> </w:t>
      </w:r>
      <w:r w:rsidR="009A2F9B" w:rsidRPr="0097437C">
        <w:rPr>
          <w:rFonts w:cs="Arial"/>
          <w:sz w:val="20"/>
          <w:szCs w:val="20"/>
        </w:rPr>
        <w:t>requirements to which apparatus, equipment, storing spaces and working surfaces and places</w:t>
      </w:r>
      <w:r w:rsidR="008A6F0B" w:rsidRPr="0097437C">
        <w:rPr>
          <w:rFonts w:cs="Arial"/>
          <w:sz w:val="20"/>
          <w:szCs w:val="20"/>
        </w:rPr>
        <w:t xml:space="preserve"> employed in connection with the </w:t>
      </w:r>
      <w:r w:rsidR="009A2F9B" w:rsidRPr="0097437C">
        <w:rPr>
          <w:rFonts w:cs="Arial"/>
          <w:sz w:val="20"/>
          <w:szCs w:val="20"/>
        </w:rPr>
        <w:t>handling of food, and the cleansing of the afore-mentioned</w:t>
      </w:r>
      <w:r w:rsidR="008A6F0B" w:rsidRPr="0097437C">
        <w:rPr>
          <w:rFonts w:cs="Arial"/>
          <w:sz w:val="20"/>
          <w:szCs w:val="20"/>
        </w:rPr>
        <w:t xml:space="preserve"> </w:t>
      </w:r>
      <w:r w:rsidR="009A2F9B" w:rsidRPr="0097437C">
        <w:rPr>
          <w:rFonts w:cs="Arial"/>
          <w:sz w:val="20"/>
          <w:szCs w:val="20"/>
        </w:rPr>
        <w:t>facilities, the manner of transport of various foodstuffs, the holders in which food is stored,</w:t>
      </w:r>
      <w:r w:rsidR="008A6F0B" w:rsidRPr="0097437C">
        <w:rPr>
          <w:rFonts w:cs="Arial"/>
          <w:sz w:val="20"/>
          <w:szCs w:val="20"/>
        </w:rPr>
        <w:t xml:space="preserve"> </w:t>
      </w:r>
      <w:r w:rsidR="009A2F9B" w:rsidRPr="0097437C">
        <w:rPr>
          <w:rFonts w:cs="Arial"/>
          <w:sz w:val="20"/>
          <w:szCs w:val="20"/>
        </w:rPr>
        <w:t>processed, displayed or transported and the clothing worn by persons handling food, shall</w:t>
      </w:r>
      <w:r w:rsidR="008A6F0B" w:rsidRPr="0097437C">
        <w:rPr>
          <w:rFonts w:cs="Arial"/>
          <w:sz w:val="20"/>
          <w:szCs w:val="20"/>
        </w:rPr>
        <w:t xml:space="preserve"> </w:t>
      </w:r>
      <w:r w:rsidRPr="0097437C">
        <w:rPr>
          <w:rFonts w:cs="Arial"/>
          <w:sz w:val="20"/>
          <w:szCs w:val="20"/>
        </w:rPr>
        <w:t>conform.</w:t>
      </w:r>
    </w:p>
    <w:p w:rsidR="00183E1C" w:rsidRPr="0097437C" w:rsidRDefault="00183E1C" w:rsidP="00183E1C">
      <w:pPr>
        <w:jc w:val="both"/>
        <w:rPr>
          <w:rFonts w:cs="Arial"/>
          <w:sz w:val="20"/>
          <w:szCs w:val="20"/>
        </w:rPr>
      </w:pPr>
    </w:p>
    <w:p w:rsidR="00183E1C" w:rsidRPr="0097437C" w:rsidRDefault="00183E1C" w:rsidP="00183E1C">
      <w:pPr>
        <w:jc w:val="both"/>
        <w:rPr>
          <w:rFonts w:cs="Arial"/>
          <w:b/>
          <w:sz w:val="20"/>
          <w:szCs w:val="20"/>
          <w:u w:val="single"/>
        </w:rPr>
      </w:pPr>
      <w:r w:rsidRPr="0097437C">
        <w:rPr>
          <w:rFonts w:cs="Arial"/>
          <w:b/>
          <w:sz w:val="20"/>
          <w:szCs w:val="20"/>
          <w:u w:val="single"/>
        </w:rPr>
        <w:t>European regulations:</w:t>
      </w:r>
    </w:p>
    <w:p w:rsidR="00C15804" w:rsidRPr="0097437C" w:rsidRDefault="00C15804" w:rsidP="00C15804">
      <w:pPr>
        <w:pStyle w:val="ehindented1"/>
        <w:rPr>
          <w:rFonts w:ascii="Arial" w:hAnsi="Arial" w:cs="Arial"/>
          <w:sz w:val="20"/>
          <w:szCs w:val="20"/>
        </w:rPr>
      </w:pPr>
      <w:r w:rsidRPr="0097437C">
        <w:rPr>
          <w:rFonts w:ascii="Arial" w:hAnsi="Arial" w:cs="Arial"/>
          <w:sz w:val="20"/>
          <w:szCs w:val="20"/>
        </w:rPr>
        <w:t>Imports of foodstuffs of non-animal origin into the European Union (EU) must comply with general conditions and specific provisions designed to prevent risk to public health and protect consumers' interests. Hence, the general rules applicable to these products are as follows.</w:t>
      </w:r>
    </w:p>
    <w:p w:rsidR="002B020E" w:rsidRPr="0097437C" w:rsidRDefault="002B020E" w:rsidP="00183E1C">
      <w:pPr>
        <w:jc w:val="both"/>
        <w:rPr>
          <w:rStyle w:val="Strong"/>
          <w:rFonts w:cs="Arial"/>
          <w:sz w:val="20"/>
          <w:szCs w:val="20"/>
        </w:rPr>
      </w:pPr>
      <w:r w:rsidRPr="0097437C">
        <w:rPr>
          <w:rFonts w:cs="Arial"/>
          <w:b/>
          <w:sz w:val="20"/>
          <w:szCs w:val="20"/>
        </w:rPr>
        <w:t>Council Regulation (EEC) No 315/93 of 8 February</w:t>
      </w:r>
      <w:r w:rsidRPr="0097437C">
        <w:rPr>
          <w:rFonts w:cs="Arial"/>
          <w:sz w:val="20"/>
          <w:szCs w:val="20"/>
        </w:rPr>
        <w:t xml:space="preserve"> </w:t>
      </w:r>
      <w:r w:rsidRPr="0097437C">
        <w:rPr>
          <w:rFonts w:cs="Arial"/>
          <w:b/>
          <w:sz w:val="20"/>
          <w:szCs w:val="20"/>
        </w:rPr>
        <w:t>1993</w:t>
      </w:r>
      <w:r w:rsidRPr="0097437C">
        <w:rPr>
          <w:rFonts w:cs="Arial"/>
          <w:sz w:val="20"/>
          <w:szCs w:val="20"/>
        </w:rPr>
        <w:t xml:space="preserve">, food containing a contaminant to an amount unacceptable from the public health viewpoint and in particular at a toxicological level, </w:t>
      </w:r>
      <w:r w:rsidRPr="0097437C">
        <w:rPr>
          <w:rStyle w:val="Strong"/>
          <w:rFonts w:cs="Arial"/>
          <w:b w:val="0"/>
          <w:sz w:val="20"/>
          <w:szCs w:val="20"/>
        </w:rPr>
        <w:t>shall not be placed on the EU market and will be rejected</w:t>
      </w:r>
    </w:p>
    <w:p w:rsidR="002B020E" w:rsidRPr="0097437C" w:rsidRDefault="002B020E" w:rsidP="00183E1C">
      <w:pPr>
        <w:jc w:val="both"/>
        <w:rPr>
          <w:rStyle w:val="Strong"/>
          <w:rFonts w:cs="Arial"/>
          <w:sz w:val="20"/>
          <w:szCs w:val="20"/>
        </w:rPr>
      </w:pPr>
    </w:p>
    <w:p w:rsidR="002B020E" w:rsidRPr="0097437C" w:rsidRDefault="002B020E" w:rsidP="00183E1C">
      <w:pPr>
        <w:jc w:val="both"/>
        <w:rPr>
          <w:rFonts w:cs="Arial"/>
          <w:sz w:val="20"/>
          <w:szCs w:val="20"/>
        </w:rPr>
      </w:pPr>
      <w:r w:rsidRPr="0097437C">
        <w:rPr>
          <w:rFonts w:cs="Arial"/>
          <w:b/>
          <w:sz w:val="20"/>
          <w:szCs w:val="20"/>
        </w:rPr>
        <w:t>Commission Regulation (EC) No 1881/2006 of 19 December 2006</w:t>
      </w:r>
      <w:r w:rsidRPr="0097437C">
        <w:rPr>
          <w:rFonts w:cs="Arial"/>
          <w:sz w:val="20"/>
          <w:szCs w:val="20"/>
        </w:rPr>
        <w:t xml:space="preserve"> setting maximum levels for certain contaminants in foodstuffs sets maximum levels for certain contaminants in food to be placed on the EU market. Low levels of dioxins, dioxin-like </w:t>
      </w:r>
      <w:r w:rsidRPr="0097437C">
        <w:rPr>
          <w:rFonts w:cs="Arial"/>
          <w:sz w:val="20"/>
          <w:szCs w:val="20"/>
          <w:lang w:val="en-ZA" w:eastAsia="en-GB"/>
        </w:rPr>
        <w:t>polychlorinated biphenyls, and Benzopyrene are important for sunflower oil.</w:t>
      </w:r>
    </w:p>
    <w:p w:rsidR="002B020E" w:rsidRPr="0097437C" w:rsidRDefault="002B020E" w:rsidP="00183E1C">
      <w:pPr>
        <w:jc w:val="both"/>
        <w:rPr>
          <w:rFonts w:cs="Arial"/>
          <w:sz w:val="20"/>
          <w:szCs w:val="20"/>
        </w:rPr>
      </w:pPr>
    </w:p>
    <w:p w:rsidR="004200F0" w:rsidRPr="0097437C" w:rsidRDefault="004200F0" w:rsidP="00183E1C">
      <w:pPr>
        <w:jc w:val="both"/>
        <w:rPr>
          <w:rStyle w:val="ehbold"/>
          <w:rFonts w:cs="Arial"/>
          <w:sz w:val="20"/>
          <w:szCs w:val="20"/>
        </w:rPr>
      </w:pPr>
      <w:r w:rsidRPr="0097437C">
        <w:rPr>
          <w:rFonts w:cs="Arial"/>
          <w:sz w:val="20"/>
          <w:szCs w:val="20"/>
        </w:rPr>
        <w:t>Basic food law requirements applying to all food imported into</w:t>
      </w:r>
      <w:r w:rsidR="00E41FCB" w:rsidRPr="0097437C">
        <w:rPr>
          <w:rFonts w:cs="Arial"/>
          <w:sz w:val="20"/>
          <w:szCs w:val="20"/>
        </w:rPr>
        <w:t xml:space="preserve"> the EU fall under </w:t>
      </w:r>
      <w:r w:rsidR="00C15804" w:rsidRPr="0097437C">
        <w:rPr>
          <w:rFonts w:cs="Arial"/>
          <w:b/>
          <w:sz w:val="20"/>
          <w:szCs w:val="20"/>
        </w:rPr>
        <w:t xml:space="preserve">Regulation (EC) No 178/2002 </w:t>
      </w:r>
      <w:r w:rsidR="00C15804" w:rsidRPr="0097437C">
        <w:rPr>
          <w:rFonts w:cs="Arial"/>
          <w:sz w:val="20"/>
          <w:szCs w:val="20"/>
        </w:rPr>
        <w:t>of the European Parliament and of the Council</w:t>
      </w:r>
      <w:r w:rsidR="00C15804" w:rsidRPr="0097437C">
        <w:rPr>
          <w:rFonts w:cs="Arial"/>
          <w:b/>
          <w:sz w:val="20"/>
          <w:szCs w:val="20"/>
        </w:rPr>
        <w:t xml:space="preserve">, </w:t>
      </w:r>
      <w:r w:rsidRPr="0097437C">
        <w:rPr>
          <w:rFonts w:cs="Arial"/>
          <w:sz w:val="20"/>
          <w:szCs w:val="20"/>
        </w:rPr>
        <w:t xml:space="preserve">which among other topics covers </w:t>
      </w:r>
      <w:r w:rsidRPr="0097437C">
        <w:rPr>
          <w:rStyle w:val="ehbold"/>
          <w:rFonts w:cs="Arial"/>
          <w:sz w:val="20"/>
          <w:szCs w:val="20"/>
        </w:rPr>
        <w:t>compliance or equivalence</w:t>
      </w:r>
      <w:r w:rsidRPr="0097437C">
        <w:rPr>
          <w:rFonts w:cs="Arial"/>
          <w:sz w:val="20"/>
          <w:szCs w:val="20"/>
        </w:rPr>
        <w:t xml:space="preserve">, </w:t>
      </w:r>
      <w:r w:rsidRPr="0097437C">
        <w:rPr>
          <w:rStyle w:val="ehbold"/>
          <w:rFonts w:cs="Arial"/>
          <w:sz w:val="20"/>
          <w:szCs w:val="20"/>
        </w:rPr>
        <w:t>traceability and the responsibilities of food importers</w:t>
      </w:r>
    </w:p>
    <w:p w:rsidR="004200F0" w:rsidRPr="0097437C" w:rsidRDefault="004200F0" w:rsidP="00A13B27">
      <w:pPr>
        <w:spacing w:before="100" w:beforeAutospacing="1" w:after="100" w:afterAutospacing="1"/>
        <w:jc w:val="both"/>
        <w:rPr>
          <w:rFonts w:cs="Arial"/>
          <w:sz w:val="20"/>
          <w:szCs w:val="20"/>
          <w:lang w:val="en-ZA" w:eastAsia="en-ZA"/>
        </w:rPr>
      </w:pPr>
      <w:r w:rsidRPr="0097437C">
        <w:rPr>
          <w:rFonts w:cs="Arial"/>
          <w:sz w:val="20"/>
          <w:szCs w:val="20"/>
          <w:lang w:val="en-ZA" w:eastAsia="en-ZA"/>
        </w:rPr>
        <w:t xml:space="preserve">The relevant hygiene rules of food which need to be respected by food business operators in third countries are contained in </w:t>
      </w:r>
      <w:r w:rsidRPr="0097437C">
        <w:rPr>
          <w:rFonts w:cs="Arial"/>
          <w:b/>
          <w:sz w:val="20"/>
          <w:szCs w:val="20"/>
          <w:lang w:val="en-ZA" w:eastAsia="en-ZA"/>
        </w:rPr>
        <w:t xml:space="preserve">Regulation (EC) No. 852/2004 </w:t>
      </w:r>
      <w:r w:rsidRPr="0097437C">
        <w:rPr>
          <w:rFonts w:cs="Arial"/>
          <w:sz w:val="20"/>
          <w:szCs w:val="20"/>
          <w:lang w:val="en-ZA" w:eastAsia="en-ZA"/>
        </w:rPr>
        <w:t>of the European Parliament and of the Council</w:t>
      </w:r>
      <w:r w:rsidR="00A13B27" w:rsidRPr="0097437C">
        <w:rPr>
          <w:rFonts w:cs="Arial"/>
          <w:sz w:val="20"/>
          <w:szCs w:val="20"/>
          <w:lang w:val="en-ZA" w:eastAsia="en-ZA"/>
        </w:rPr>
        <w:t>, which includes the g</w:t>
      </w:r>
      <w:r w:rsidRPr="0097437C">
        <w:rPr>
          <w:rFonts w:cs="Arial"/>
          <w:sz w:val="20"/>
          <w:szCs w:val="20"/>
          <w:lang w:val="en-ZA" w:eastAsia="en-ZA"/>
        </w:rPr>
        <w:t>eneral obligation</w:t>
      </w:r>
      <w:r w:rsidR="00A13B27" w:rsidRPr="0097437C">
        <w:rPr>
          <w:rFonts w:cs="Arial"/>
          <w:sz w:val="20"/>
          <w:szCs w:val="20"/>
          <w:lang w:val="en-ZA" w:eastAsia="en-ZA"/>
        </w:rPr>
        <w:t>s</w:t>
      </w:r>
      <w:r w:rsidRPr="0097437C">
        <w:rPr>
          <w:rFonts w:cs="Arial"/>
          <w:sz w:val="20"/>
          <w:szCs w:val="20"/>
          <w:lang w:val="en-ZA" w:eastAsia="en-ZA"/>
        </w:rPr>
        <w:t xml:space="preserve"> on the operator to monitor the food safety of products and </w:t>
      </w:r>
      <w:r w:rsidR="00A13B27" w:rsidRPr="0097437C">
        <w:rPr>
          <w:rFonts w:cs="Arial"/>
          <w:sz w:val="20"/>
          <w:szCs w:val="20"/>
          <w:lang w:val="en-ZA" w:eastAsia="en-ZA"/>
        </w:rPr>
        <w:t xml:space="preserve">the </w:t>
      </w:r>
      <w:r w:rsidRPr="0097437C">
        <w:rPr>
          <w:rFonts w:cs="Arial"/>
          <w:sz w:val="20"/>
          <w:szCs w:val="20"/>
          <w:lang w:val="en-ZA" w:eastAsia="en-ZA"/>
        </w:rPr>
        <w:t>processes under his responsibility;</w:t>
      </w:r>
    </w:p>
    <w:p w:rsidR="004200F0" w:rsidRPr="0097437C" w:rsidRDefault="00C15804" w:rsidP="00183E1C">
      <w:pPr>
        <w:jc w:val="both"/>
        <w:rPr>
          <w:rFonts w:cs="Arial"/>
          <w:b/>
          <w:sz w:val="20"/>
          <w:szCs w:val="20"/>
        </w:rPr>
      </w:pPr>
      <w:r w:rsidRPr="0097437C">
        <w:rPr>
          <w:rFonts w:cs="Arial"/>
          <w:b/>
          <w:sz w:val="20"/>
          <w:szCs w:val="20"/>
        </w:rPr>
        <w:t>Regulation (EC) No 1935/2004</w:t>
      </w:r>
      <w:r w:rsidRPr="0097437C">
        <w:rPr>
          <w:rFonts w:cs="Arial"/>
          <w:sz w:val="20"/>
          <w:szCs w:val="20"/>
        </w:rPr>
        <w:t xml:space="preserve"> of the European Parliament and of the Council establishes a list of groups of materials and articles (such us plastics, ceramics, rubbers, paper, glass, etc.) which may be covered by specific measures that include a list of the authorised substances, special conditions of use, purity standards, etc. Specific measures exist for ceramics, regenerated cellulose and plastics.</w:t>
      </w:r>
    </w:p>
    <w:p w:rsidR="0027015D" w:rsidRPr="0097437C" w:rsidRDefault="0027015D" w:rsidP="00183E1C">
      <w:pPr>
        <w:jc w:val="both"/>
        <w:rPr>
          <w:rFonts w:cs="Arial"/>
          <w:sz w:val="20"/>
          <w:szCs w:val="20"/>
        </w:rPr>
      </w:pPr>
    </w:p>
    <w:p w:rsidR="004777AC" w:rsidRDefault="004777AC" w:rsidP="00183E1C">
      <w:pPr>
        <w:jc w:val="both"/>
        <w:rPr>
          <w:rFonts w:cs="Arial"/>
          <w:b/>
          <w:sz w:val="20"/>
          <w:szCs w:val="20"/>
          <w:u w:val="single"/>
        </w:rPr>
      </w:pPr>
    </w:p>
    <w:p w:rsidR="004777AC" w:rsidRDefault="004777AC" w:rsidP="00183E1C">
      <w:pPr>
        <w:jc w:val="both"/>
        <w:rPr>
          <w:rFonts w:cs="Arial"/>
          <w:b/>
          <w:sz w:val="20"/>
          <w:szCs w:val="20"/>
          <w:u w:val="single"/>
        </w:rPr>
      </w:pPr>
    </w:p>
    <w:p w:rsidR="004777AC" w:rsidRDefault="004777AC" w:rsidP="00183E1C">
      <w:pPr>
        <w:jc w:val="both"/>
        <w:rPr>
          <w:rFonts w:cs="Arial"/>
          <w:b/>
          <w:sz w:val="20"/>
          <w:szCs w:val="20"/>
          <w:u w:val="single"/>
        </w:rPr>
      </w:pPr>
    </w:p>
    <w:p w:rsidR="004777AC" w:rsidRDefault="004777AC" w:rsidP="00183E1C">
      <w:pPr>
        <w:jc w:val="both"/>
        <w:rPr>
          <w:rFonts w:cs="Arial"/>
          <w:b/>
          <w:sz w:val="20"/>
          <w:szCs w:val="20"/>
          <w:u w:val="single"/>
        </w:rPr>
      </w:pPr>
    </w:p>
    <w:p w:rsidR="00183E1C" w:rsidRPr="0097437C" w:rsidRDefault="00183E1C" w:rsidP="00183E1C">
      <w:pPr>
        <w:jc w:val="both"/>
        <w:rPr>
          <w:rFonts w:cs="Arial"/>
          <w:b/>
          <w:sz w:val="20"/>
          <w:szCs w:val="20"/>
          <w:u w:val="single"/>
        </w:rPr>
      </w:pPr>
      <w:r w:rsidRPr="0097437C">
        <w:rPr>
          <w:rFonts w:cs="Arial"/>
          <w:b/>
          <w:sz w:val="20"/>
          <w:szCs w:val="20"/>
          <w:u w:val="single"/>
        </w:rPr>
        <w:lastRenderedPageBreak/>
        <w:t>United Kingdom regulations:</w:t>
      </w:r>
    </w:p>
    <w:p w:rsidR="0027015D" w:rsidRPr="0097437C" w:rsidRDefault="0027015D" w:rsidP="00AE6859">
      <w:pPr>
        <w:jc w:val="both"/>
        <w:rPr>
          <w:sz w:val="20"/>
          <w:szCs w:val="20"/>
        </w:rPr>
      </w:pPr>
    </w:p>
    <w:p w:rsidR="005A019F" w:rsidRPr="0097437C" w:rsidRDefault="001F1FD9" w:rsidP="00AE6859">
      <w:pPr>
        <w:jc w:val="both"/>
        <w:rPr>
          <w:sz w:val="20"/>
          <w:szCs w:val="20"/>
        </w:rPr>
      </w:pPr>
      <w:r w:rsidRPr="0097437C">
        <w:rPr>
          <w:sz w:val="20"/>
          <w:szCs w:val="20"/>
        </w:rPr>
        <w:t>The Food Standards Agency</w:t>
      </w:r>
      <w:r w:rsidR="00370336" w:rsidRPr="0097437C">
        <w:rPr>
          <w:sz w:val="20"/>
          <w:szCs w:val="20"/>
        </w:rPr>
        <w:t xml:space="preserve"> (FSA)</w:t>
      </w:r>
      <w:r w:rsidRPr="0097437C">
        <w:rPr>
          <w:sz w:val="20"/>
          <w:szCs w:val="20"/>
        </w:rPr>
        <w:t xml:space="preserve"> is an independent government department set up by an Act of Parliament in 2000 to protect the public's health and consumer interests in relation to food.</w:t>
      </w:r>
      <w:r w:rsidR="00DB61EE" w:rsidRPr="0097437C">
        <w:rPr>
          <w:sz w:val="20"/>
          <w:szCs w:val="20"/>
        </w:rPr>
        <w:t xml:space="preserve"> </w:t>
      </w:r>
      <w:r w:rsidR="00E41FCB" w:rsidRPr="0097437C">
        <w:rPr>
          <w:sz w:val="20"/>
          <w:szCs w:val="20"/>
        </w:rPr>
        <w:t>Sp</w:t>
      </w:r>
      <w:r w:rsidR="00DB61EE" w:rsidRPr="0097437C">
        <w:rPr>
          <w:sz w:val="20"/>
          <w:szCs w:val="20"/>
        </w:rPr>
        <w:t>ecific requirements when exporting</w:t>
      </w:r>
      <w:r w:rsidR="00AE6859" w:rsidRPr="0097437C">
        <w:rPr>
          <w:sz w:val="20"/>
          <w:szCs w:val="20"/>
        </w:rPr>
        <w:t xml:space="preserve"> </w:t>
      </w:r>
      <w:r w:rsidR="00DB61EE" w:rsidRPr="0097437C">
        <w:rPr>
          <w:sz w:val="20"/>
          <w:szCs w:val="20"/>
        </w:rPr>
        <w:t xml:space="preserve">sunflower oil into the UK can be requested from the FSA. </w:t>
      </w:r>
    </w:p>
    <w:p w:rsidR="0027015D" w:rsidRPr="0097437C" w:rsidRDefault="0027015D" w:rsidP="0027015D">
      <w:pPr>
        <w:pStyle w:val="Default"/>
        <w:ind w:right="20"/>
        <w:rPr>
          <w:sz w:val="20"/>
          <w:szCs w:val="20"/>
        </w:rPr>
      </w:pPr>
      <w:r w:rsidRPr="0097437C">
        <w:rPr>
          <w:sz w:val="20"/>
          <w:szCs w:val="20"/>
        </w:rPr>
        <w:t xml:space="preserve"> </w:t>
      </w:r>
    </w:p>
    <w:p w:rsidR="0027015D" w:rsidRPr="0097437C" w:rsidRDefault="00E41FCB" w:rsidP="00370336">
      <w:pPr>
        <w:pStyle w:val="Default"/>
        <w:ind w:right="20"/>
        <w:jc w:val="both"/>
        <w:rPr>
          <w:sz w:val="20"/>
          <w:szCs w:val="20"/>
        </w:rPr>
      </w:pPr>
      <w:r w:rsidRPr="0097437C">
        <w:rPr>
          <w:sz w:val="20"/>
          <w:szCs w:val="20"/>
        </w:rPr>
        <w:t>South African exporters</w:t>
      </w:r>
      <w:r w:rsidR="0027015D" w:rsidRPr="0097437C">
        <w:rPr>
          <w:sz w:val="20"/>
          <w:szCs w:val="20"/>
        </w:rPr>
        <w:t xml:space="preserve"> may not need a health or hygiene licence to import food, but many foods from countries outside the EU require licences for trading purposes and</w:t>
      </w:r>
      <w:r w:rsidR="00370336" w:rsidRPr="0097437C">
        <w:rPr>
          <w:sz w:val="20"/>
          <w:szCs w:val="20"/>
        </w:rPr>
        <w:t xml:space="preserve"> may be subject to quotas. F</w:t>
      </w:r>
      <w:r w:rsidR="0027015D" w:rsidRPr="0097437C">
        <w:rPr>
          <w:sz w:val="20"/>
          <w:szCs w:val="20"/>
        </w:rPr>
        <w:t xml:space="preserve">urther information </w:t>
      </w:r>
      <w:r w:rsidR="00370336" w:rsidRPr="0097437C">
        <w:rPr>
          <w:sz w:val="20"/>
          <w:szCs w:val="20"/>
        </w:rPr>
        <w:t xml:space="preserve">in this regard can be collected from the UK Rural </w:t>
      </w:r>
      <w:r w:rsidR="0027015D" w:rsidRPr="0097437C">
        <w:rPr>
          <w:sz w:val="20"/>
          <w:szCs w:val="20"/>
        </w:rPr>
        <w:t>Payments</w:t>
      </w:r>
      <w:r w:rsidR="00370336" w:rsidRPr="0097437C">
        <w:rPr>
          <w:sz w:val="20"/>
          <w:szCs w:val="20"/>
        </w:rPr>
        <w:t xml:space="preserve"> Agency.</w:t>
      </w:r>
      <w:r w:rsidR="0027015D" w:rsidRPr="0097437C">
        <w:rPr>
          <w:sz w:val="20"/>
          <w:szCs w:val="20"/>
        </w:rPr>
        <w:t xml:space="preserve"> </w:t>
      </w:r>
    </w:p>
    <w:p w:rsidR="0027015D" w:rsidRPr="0097437C" w:rsidRDefault="0027015D" w:rsidP="0027015D">
      <w:pPr>
        <w:pStyle w:val="Heading1"/>
        <w:rPr>
          <w:color w:val="000000"/>
          <w:sz w:val="20"/>
          <w:szCs w:val="20"/>
          <w:u w:val="single"/>
        </w:rPr>
      </w:pPr>
    </w:p>
    <w:p w:rsidR="0027015D" w:rsidRPr="0097437C" w:rsidRDefault="0027015D" w:rsidP="00370336">
      <w:pPr>
        <w:jc w:val="both"/>
        <w:rPr>
          <w:sz w:val="20"/>
          <w:szCs w:val="20"/>
        </w:rPr>
      </w:pPr>
      <w:r w:rsidRPr="0097437C">
        <w:rPr>
          <w:sz w:val="20"/>
          <w:szCs w:val="20"/>
        </w:rPr>
        <w:t xml:space="preserve">Some oils may contain food colourings, flavourings or sweeteners. Although these may be approved by the food authority in the country of origin, some of them may not be approved in </w:t>
      </w:r>
      <w:r w:rsidR="00370336" w:rsidRPr="0097437C">
        <w:rPr>
          <w:sz w:val="20"/>
          <w:szCs w:val="20"/>
        </w:rPr>
        <w:t xml:space="preserve">the EU. For information on food </w:t>
      </w:r>
      <w:r w:rsidRPr="0097437C">
        <w:rPr>
          <w:sz w:val="20"/>
          <w:szCs w:val="20"/>
        </w:rPr>
        <w:t>flavourings, sweeteners, colourings and preservatives, please contact the FSA Food Additives team.</w:t>
      </w:r>
    </w:p>
    <w:p w:rsidR="0027015D" w:rsidRPr="0097437C" w:rsidRDefault="0027015D" w:rsidP="00A855BC">
      <w:pPr>
        <w:rPr>
          <w:sz w:val="20"/>
          <w:szCs w:val="20"/>
        </w:rPr>
      </w:pPr>
    </w:p>
    <w:p w:rsidR="0027015D" w:rsidRPr="0097437C" w:rsidRDefault="00370336" w:rsidP="00A855BC">
      <w:pPr>
        <w:rPr>
          <w:color w:val="000000"/>
          <w:sz w:val="20"/>
          <w:szCs w:val="20"/>
          <w:u w:val="single"/>
        </w:rPr>
      </w:pPr>
      <w:r w:rsidRPr="0097437C">
        <w:rPr>
          <w:color w:val="000000"/>
          <w:sz w:val="20"/>
          <w:szCs w:val="20"/>
        </w:rPr>
        <w:t>I</w:t>
      </w:r>
      <w:r w:rsidR="00E41FCB" w:rsidRPr="0097437C">
        <w:rPr>
          <w:color w:val="000000"/>
          <w:sz w:val="20"/>
          <w:szCs w:val="20"/>
        </w:rPr>
        <w:t xml:space="preserve">nformation on pesticides safety levels for </w:t>
      </w:r>
      <w:r w:rsidRPr="0097437C">
        <w:rPr>
          <w:color w:val="000000"/>
          <w:sz w:val="20"/>
          <w:szCs w:val="20"/>
        </w:rPr>
        <w:t xml:space="preserve">sunflower oil </w:t>
      </w:r>
      <w:r w:rsidR="00E41FCB" w:rsidRPr="0097437C">
        <w:rPr>
          <w:color w:val="000000"/>
          <w:sz w:val="20"/>
          <w:szCs w:val="20"/>
        </w:rPr>
        <w:t xml:space="preserve">imports </w:t>
      </w:r>
      <w:r w:rsidRPr="0097437C">
        <w:rPr>
          <w:color w:val="000000"/>
          <w:sz w:val="20"/>
          <w:szCs w:val="20"/>
        </w:rPr>
        <w:t>can be collected from the</w:t>
      </w:r>
      <w:r w:rsidR="00E41FCB" w:rsidRPr="0097437C">
        <w:rPr>
          <w:color w:val="000000"/>
          <w:sz w:val="20"/>
          <w:szCs w:val="20"/>
        </w:rPr>
        <w:t xml:space="preserve"> Health and Safety Executive’s (HSE) Chemicals Regulation Directorate (CRD)</w:t>
      </w:r>
      <w:r w:rsidRPr="0097437C">
        <w:rPr>
          <w:color w:val="000000"/>
          <w:sz w:val="20"/>
          <w:szCs w:val="20"/>
        </w:rPr>
        <w:t>.</w:t>
      </w:r>
    </w:p>
    <w:p w:rsidR="00E41FCB" w:rsidRPr="0097437C" w:rsidRDefault="00E41FCB" w:rsidP="00A855BC">
      <w:pPr>
        <w:rPr>
          <w:color w:val="000000"/>
          <w:sz w:val="20"/>
          <w:szCs w:val="20"/>
          <w:u w:val="single"/>
        </w:rPr>
      </w:pPr>
    </w:p>
    <w:p w:rsidR="00E41FCB" w:rsidRPr="0097437C" w:rsidRDefault="00E41FCB" w:rsidP="003E1C2B">
      <w:pPr>
        <w:jc w:val="both"/>
        <w:rPr>
          <w:sz w:val="20"/>
          <w:szCs w:val="20"/>
        </w:rPr>
      </w:pPr>
      <w:r w:rsidRPr="0097437C">
        <w:rPr>
          <w:sz w:val="20"/>
          <w:szCs w:val="20"/>
        </w:rPr>
        <w:t xml:space="preserve">A guidance note on the </w:t>
      </w:r>
      <w:r w:rsidRPr="0097437C">
        <w:rPr>
          <w:b/>
          <w:sz w:val="20"/>
          <w:szCs w:val="20"/>
        </w:rPr>
        <w:t>Contaminants in Food (England) Regulations 2009</w:t>
      </w:r>
      <w:r w:rsidRPr="0097437C">
        <w:rPr>
          <w:sz w:val="20"/>
          <w:szCs w:val="20"/>
        </w:rPr>
        <w:t xml:space="preserve">, which make provision for enactment and enforcement of Commission Regulations setting regulatory limits for contaminants in food (nitrate, mycotoxins, metals, 3-MCPD dioxins and PAHs), can be </w:t>
      </w:r>
      <w:r w:rsidR="003E1C2B" w:rsidRPr="0097437C">
        <w:rPr>
          <w:sz w:val="20"/>
          <w:szCs w:val="20"/>
        </w:rPr>
        <w:t>requested from the FSA.</w:t>
      </w:r>
    </w:p>
    <w:p w:rsidR="003E1C2B" w:rsidRPr="0097437C" w:rsidRDefault="003E1C2B" w:rsidP="003E1C2B">
      <w:pPr>
        <w:jc w:val="both"/>
        <w:rPr>
          <w:sz w:val="20"/>
          <w:szCs w:val="20"/>
          <w:u w:val="single"/>
        </w:rPr>
      </w:pPr>
    </w:p>
    <w:p w:rsidR="00E41FCB" w:rsidRPr="0097437C" w:rsidRDefault="00E41FCB" w:rsidP="003E1C2B">
      <w:pPr>
        <w:jc w:val="both"/>
        <w:rPr>
          <w:sz w:val="20"/>
          <w:szCs w:val="20"/>
        </w:rPr>
      </w:pPr>
      <w:r w:rsidRPr="0097437C">
        <w:rPr>
          <w:sz w:val="20"/>
          <w:szCs w:val="20"/>
        </w:rPr>
        <w:t xml:space="preserve">Food imported into the UK also has to meet the requirements of </w:t>
      </w:r>
      <w:r w:rsidR="003E1C2B" w:rsidRPr="0097437C">
        <w:rPr>
          <w:sz w:val="20"/>
          <w:szCs w:val="20"/>
        </w:rPr>
        <w:t xml:space="preserve">the </w:t>
      </w:r>
      <w:r w:rsidRPr="0097437C">
        <w:rPr>
          <w:b/>
          <w:sz w:val="20"/>
          <w:szCs w:val="20"/>
        </w:rPr>
        <w:t>Arsenic in Food Regulations 1959</w:t>
      </w:r>
      <w:r w:rsidR="003E1C2B" w:rsidRPr="0097437C">
        <w:rPr>
          <w:sz w:val="20"/>
          <w:szCs w:val="20"/>
        </w:rPr>
        <w:t>. More information regarding these requirements can be collected from the FSA.</w:t>
      </w:r>
    </w:p>
    <w:p w:rsidR="00183E1C" w:rsidRPr="0097437C" w:rsidRDefault="00183E1C" w:rsidP="00A855BC">
      <w:pPr>
        <w:rPr>
          <w:sz w:val="20"/>
          <w:szCs w:val="20"/>
        </w:rPr>
      </w:pPr>
    </w:p>
    <w:p w:rsidR="00183E1C" w:rsidRPr="0097437C" w:rsidRDefault="00183E1C" w:rsidP="00A855BC">
      <w:pPr>
        <w:rPr>
          <w:b/>
          <w:sz w:val="20"/>
          <w:szCs w:val="20"/>
          <w:u w:val="single"/>
        </w:rPr>
      </w:pPr>
      <w:r w:rsidRPr="0097437C">
        <w:rPr>
          <w:b/>
          <w:sz w:val="20"/>
          <w:szCs w:val="20"/>
          <w:u w:val="single"/>
        </w:rPr>
        <w:t>Voluntary measures:</w:t>
      </w:r>
    </w:p>
    <w:p w:rsidR="003E1C2B" w:rsidRPr="0097437C" w:rsidRDefault="003E1C2B" w:rsidP="00A855BC">
      <w:pPr>
        <w:rPr>
          <w:b/>
          <w:sz w:val="20"/>
          <w:szCs w:val="20"/>
          <w:u w:val="single"/>
        </w:rPr>
      </w:pPr>
    </w:p>
    <w:p w:rsidR="00183E1C" w:rsidRPr="0097437C" w:rsidRDefault="007A4866" w:rsidP="00183E1C">
      <w:pPr>
        <w:jc w:val="both"/>
        <w:rPr>
          <w:sz w:val="20"/>
          <w:szCs w:val="20"/>
        </w:rPr>
      </w:pPr>
      <w:r w:rsidRPr="0097437C">
        <w:rPr>
          <w:sz w:val="20"/>
          <w:szCs w:val="20"/>
        </w:rPr>
        <w:t>South African exporters will need to consider voluntary measures</w:t>
      </w:r>
      <w:r w:rsidR="00183E1C" w:rsidRPr="0097437C">
        <w:rPr>
          <w:sz w:val="20"/>
          <w:szCs w:val="20"/>
        </w:rPr>
        <w:t xml:space="preserve"> when supplying to </w:t>
      </w:r>
      <w:r w:rsidR="003E1C2B" w:rsidRPr="0097437C">
        <w:rPr>
          <w:sz w:val="20"/>
          <w:szCs w:val="20"/>
        </w:rPr>
        <w:t xml:space="preserve">UK </w:t>
      </w:r>
      <w:r w:rsidR="00183E1C" w:rsidRPr="0097437C">
        <w:rPr>
          <w:sz w:val="20"/>
          <w:szCs w:val="20"/>
        </w:rPr>
        <w:t>retailers. Unlike mandatory measures, sunflower oil originating from South Africa does not have to comply with private standards to enter the UK. However</w:t>
      </w:r>
      <w:r w:rsidRPr="0097437C">
        <w:rPr>
          <w:sz w:val="20"/>
          <w:szCs w:val="20"/>
        </w:rPr>
        <w:t>,</w:t>
      </w:r>
      <w:r w:rsidR="002A6664" w:rsidRPr="0097437C">
        <w:rPr>
          <w:sz w:val="20"/>
          <w:szCs w:val="20"/>
        </w:rPr>
        <w:t xml:space="preserve"> </w:t>
      </w:r>
      <w:r w:rsidR="00183E1C" w:rsidRPr="0097437C">
        <w:rPr>
          <w:sz w:val="20"/>
          <w:szCs w:val="20"/>
        </w:rPr>
        <w:t xml:space="preserve">since sunflower </w:t>
      </w:r>
      <w:r w:rsidRPr="0097437C">
        <w:rPr>
          <w:sz w:val="20"/>
          <w:szCs w:val="20"/>
        </w:rPr>
        <w:t>oil is traditionally bought in</w:t>
      </w:r>
      <w:r w:rsidR="00183E1C" w:rsidRPr="0097437C">
        <w:rPr>
          <w:sz w:val="20"/>
          <w:szCs w:val="20"/>
        </w:rPr>
        <w:t xml:space="preserve"> supermarket</w:t>
      </w:r>
      <w:r w:rsidRPr="0097437C">
        <w:rPr>
          <w:sz w:val="20"/>
          <w:szCs w:val="20"/>
        </w:rPr>
        <w:t>s</w:t>
      </w:r>
      <w:r w:rsidR="00183E1C" w:rsidRPr="0097437C">
        <w:rPr>
          <w:sz w:val="20"/>
          <w:szCs w:val="20"/>
        </w:rPr>
        <w:t xml:space="preserve"> as cooking oil, exporters will need to comply with private standards before gaining access to UK consumers. </w:t>
      </w:r>
    </w:p>
    <w:p w:rsidR="009A2F9B" w:rsidRPr="0097437C" w:rsidRDefault="009A2F9B" w:rsidP="00A855BC">
      <w:pPr>
        <w:rPr>
          <w:sz w:val="20"/>
          <w:szCs w:val="20"/>
        </w:rPr>
      </w:pPr>
    </w:p>
    <w:p w:rsidR="004B483D" w:rsidRPr="0097437C" w:rsidRDefault="007A4866" w:rsidP="00052491">
      <w:pPr>
        <w:jc w:val="both"/>
        <w:rPr>
          <w:sz w:val="20"/>
          <w:szCs w:val="20"/>
        </w:rPr>
      </w:pPr>
      <w:r w:rsidRPr="0097437C">
        <w:rPr>
          <w:sz w:val="20"/>
          <w:szCs w:val="20"/>
        </w:rPr>
        <w:t>Exporters have to</w:t>
      </w:r>
      <w:r w:rsidR="003E1C2B" w:rsidRPr="0097437C">
        <w:rPr>
          <w:sz w:val="20"/>
          <w:szCs w:val="20"/>
        </w:rPr>
        <w:t xml:space="preserve"> meet the stan</w:t>
      </w:r>
      <w:r w:rsidRPr="0097437C">
        <w:rPr>
          <w:sz w:val="20"/>
          <w:szCs w:val="20"/>
        </w:rPr>
        <w:t>dards of the chosen retailer</w:t>
      </w:r>
      <w:r w:rsidR="003E1C2B" w:rsidRPr="0097437C">
        <w:rPr>
          <w:sz w:val="20"/>
          <w:szCs w:val="20"/>
        </w:rPr>
        <w:t xml:space="preserve"> and</w:t>
      </w:r>
      <w:r w:rsidRPr="0097437C">
        <w:rPr>
          <w:sz w:val="20"/>
          <w:szCs w:val="20"/>
        </w:rPr>
        <w:t>,</w:t>
      </w:r>
      <w:r w:rsidR="003E1C2B" w:rsidRPr="0097437C">
        <w:rPr>
          <w:sz w:val="20"/>
          <w:szCs w:val="20"/>
        </w:rPr>
        <w:t xml:space="preserve"> in some cases</w:t>
      </w:r>
      <w:r w:rsidRPr="0097437C">
        <w:rPr>
          <w:sz w:val="20"/>
          <w:szCs w:val="20"/>
        </w:rPr>
        <w:t>, the standards set by third parties</w:t>
      </w:r>
      <w:r w:rsidR="003E1C2B" w:rsidRPr="0097437C">
        <w:rPr>
          <w:sz w:val="20"/>
          <w:szCs w:val="20"/>
        </w:rPr>
        <w:t xml:space="preserve"> such as those of the British Retail Consorti</w:t>
      </w:r>
      <w:r w:rsidRPr="0097437C">
        <w:rPr>
          <w:sz w:val="20"/>
          <w:szCs w:val="20"/>
        </w:rPr>
        <w:t>um (BRC).</w:t>
      </w:r>
      <w:r w:rsidR="003E1C2B" w:rsidRPr="0097437C">
        <w:rPr>
          <w:sz w:val="20"/>
          <w:szCs w:val="20"/>
        </w:rPr>
        <w:t xml:space="preserve"> </w:t>
      </w:r>
      <w:r w:rsidRPr="0097437C">
        <w:rPr>
          <w:sz w:val="20"/>
          <w:szCs w:val="20"/>
        </w:rPr>
        <w:t>To illustrate these standards, the requirements and contact details of the two largest retailers in the UK (ASDA and</w:t>
      </w:r>
      <w:r w:rsidR="00214609" w:rsidRPr="0097437C">
        <w:rPr>
          <w:sz w:val="20"/>
          <w:szCs w:val="20"/>
        </w:rPr>
        <w:t xml:space="preserve"> TESCO) are shown </w:t>
      </w:r>
      <w:r w:rsidR="0097437C">
        <w:rPr>
          <w:sz w:val="20"/>
          <w:szCs w:val="20"/>
        </w:rPr>
        <w:t>in Annex 5</w:t>
      </w:r>
      <w:r w:rsidRPr="0097437C">
        <w:rPr>
          <w:sz w:val="20"/>
          <w:szCs w:val="20"/>
        </w:rPr>
        <w:t>.</w:t>
      </w:r>
    </w:p>
    <w:p w:rsidR="006F6546" w:rsidRPr="00024D18" w:rsidRDefault="006F6546" w:rsidP="00052491">
      <w:pPr>
        <w:jc w:val="both"/>
        <w:rPr>
          <w:sz w:val="20"/>
          <w:szCs w:val="20"/>
        </w:rPr>
      </w:pPr>
    </w:p>
    <w:p w:rsidR="000C19DC" w:rsidRPr="00A855BC" w:rsidRDefault="000C19DC" w:rsidP="00A855BC"/>
    <w:p w:rsidR="004422E1" w:rsidRPr="000D562F" w:rsidRDefault="00F647CC" w:rsidP="004422E1">
      <w:pPr>
        <w:pStyle w:val="Heading1"/>
        <w:pBdr>
          <w:top w:val="single" w:sz="4" w:space="1" w:color="auto"/>
          <w:bottom w:val="single" w:sz="4" w:space="1" w:color="auto"/>
        </w:pBdr>
        <w:jc w:val="center"/>
        <w:rPr>
          <w:sz w:val="20"/>
          <w:szCs w:val="20"/>
        </w:rPr>
      </w:pPr>
      <w:bookmarkStart w:id="22" w:name="_Toc290627305"/>
      <w:r w:rsidRPr="000D562F">
        <w:rPr>
          <w:sz w:val="20"/>
          <w:szCs w:val="20"/>
        </w:rPr>
        <w:t xml:space="preserve">F. </w:t>
      </w:r>
      <w:r w:rsidR="004422E1" w:rsidRPr="000D562F">
        <w:rPr>
          <w:sz w:val="20"/>
          <w:szCs w:val="20"/>
        </w:rPr>
        <w:t xml:space="preserve">Packaging and </w:t>
      </w:r>
      <w:r w:rsidR="001B585B" w:rsidRPr="000D562F">
        <w:rPr>
          <w:sz w:val="20"/>
          <w:szCs w:val="20"/>
        </w:rPr>
        <w:t>L</w:t>
      </w:r>
      <w:r w:rsidR="004422E1" w:rsidRPr="000D562F">
        <w:rPr>
          <w:sz w:val="20"/>
          <w:szCs w:val="20"/>
        </w:rPr>
        <w:t xml:space="preserve">abelling </w:t>
      </w:r>
      <w:r w:rsidR="001B585B" w:rsidRPr="000D562F">
        <w:rPr>
          <w:sz w:val="20"/>
          <w:szCs w:val="20"/>
        </w:rPr>
        <w:t>R</w:t>
      </w:r>
      <w:r w:rsidR="004422E1" w:rsidRPr="000D562F">
        <w:rPr>
          <w:sz w:val="20"/>
          <w:szCs w:val="20"/>
        </w:rPr>
        <w:t>egulations</w:t>
      </w:r>
      <w:bookmarkEnd w:id="22"/>
    </w:p>
    <w:p w:rsidR="00AF5E9E" w:rsidRDefault="00AF5E9E" w:rsidP="00AF5E9E">
      <w:pPr>
        <w:pStyle w:val="Default"/>
        <w:rPr>
          <w:rFonts w:eastAsia="Times New Roman"/>
          <w:bCs/>
          <w:color w:val="4F81BD" w:themeColor="accent1"/>
          <w:sz w:val="20"/>
          <w:szCs w:val="20"/>
          <w:lang w:eastAsia="en-US"/>
        </w:rPr>
      </w:pPr>
    </w:p>
    <w:p w:rsidR="00AF5E9E" w:rsidRPr="00AF5E9E" w:rsidRDefault="00AF5E9E" w:rsidP="00AF5E9E">
      <w:pPr>
        <w:pStyle w:val="Default"/>
        <w:rPr>
          <w:b/>
          <w:sz w:val="20"/>
          <w:szCs w:val="20"/>
        </w:rPr>
      </w:pPr>
    </w:p>
    <w:p w:rsidR="00AF5E9E" w:rsidRPr="00AF5E9E" w:rsidRDefault="00AF5E9E" w:rsidP="00AF5E9E">
      <w:pPr>
        <w:tabs>
          <w:tab w:val="left" w:pos="1331"/>
        </w:tabs>
        <w:jc w:val="both"/>
        <w:rPr>
          <w:rFonts w:cs="Arial"/>
          <w:sz w:val="20"/>
          <w:szCs w:val="20"/>
        </w:rPr>
      </w:pPr>
      <w:r w:rsidRPr="00AF5E9E">
        <w:rPr>
          <w:rFonts w:cs="Arial"/>
          <w:b/>
          <w:sz w:val="20"/>
          <w:szCs w:val="20"/>
        </w:rPr>
        <w:t>P</w:t>
      </w:r>
      <w:r w:rsidRPr="00AF5E9E">
        <w:rPr>
          <w:rFonts w:cs="Arial"/>
          <w:b/>
          <w:bCs/>
          <w:sz w:val="20"/>
          <w:szCs w:val="20"/>
        </w:rPr>
        <w:t>ackaging and labelling regulations:</w:t>
      </w:r>
    </w:p>
    <w:p w:rsidR="00AF5E9E" w:rsidRPr="00AF5E9E" w:rsidRDefault="00AF5E9E" w:rsidP="00AF5E9E">
      <w:pPr>
        <w:tabs>
          <w:tab w:val="left" w:pos="1331"/>
        </w:tabs>
        <w:ind w:left="-567"/>
        <w:jc w:val="both"/>
        <w:rPr>
          <w:rFonts w:cs="Arial"/>
          <w:sz w:val="20"/>
          <w:szCs w:val="20"/>
        </w:rPr>
      </w:pPr>
    </w:p>
    <w:p w:rsidR="00AF5E9E" w:rsidRDefault="00AF5E9E" w:rsidP="00AF5E9E">
      <w:pPr>
        <w:tabs>
          <w:tab w:val="left" w:pos="1331"/>
        </w:tabs>
        <w:jc w:val="both"/>
        <w:rPr>
          <w:rFonts w:cs="Arial"/>
          <w:sz w:val="20"/>
          <w:szCs w:val="20"/>
        </w:rPr>
      </w:pPr>
      <w:r w:rsidRPr="00AF5E9E">
        <w:rPr>
          <w:rFonts w:cs="Arial"/>
          <w:sz w:val="20"/>
          <w:szCs w:val="20"/>
        </w:rPr>
        <w:t>Sunflower-seed oil is normally imported in bulk into the UK, but we are going to export directly in plastic containers that can directly be sold to the end consumer. The reason for this is because we are going to cut out the middle man and is going to distribute directly via the maj</w:t>
      </w:r>
      <w:r>
        <w:rPr>
          <w:rFonts w:cs="Arial"/>
          <w:sz w:val="20"/>
          <w:szCs w:val="20"/>
        </w:rPr>
        <w:t>or retailers, e.g. ASDA UK (Wall</w:t>
      </w:r>
      <w:r w:rsidRPr="00AF5E9E">
        <w:rPr>
          <w:rFonts w:cs="Arial"/>
          <w:sz w:val="20"/>
          <w:szCs w:val="20"/>
        </w:rPr>
        <w:t xml:space="preserve">Mart in the </w:t>
      </w:r>
      <w:r>
        <w:rPr>
          <w:rFonts w:cs="Arial"/>
          <w:sz w:val="20"/>
          <w:szCs w:val="20"/>
        </w:rPr>
        <w:t>US</w:t>
      </w:r>
      <w:r w:rsidR="0076555A">
        <w:rPr>
          <w:rFonts w:cs="Arial"/>
          <w:sz w:val="20"/>
          <w:szCs w:val="20"/>
        </w:rPr>
        <w:t>.</w:t>
      </w:r>
    </w:p>
    <w:p w:rsidR="0076555A" w:rsidRPr="00AF5E9E" w:rsidRDefault="0076555A" w:rsidP="00AF5E9E">
      <w:pPr>
        <w:tabs>
          <w:tab w:val="left" w:pos="1331"/>
        </w:tabs>
        <w:jc w:val="both"/>
        <w:rPr>
          <w:rFonts w:cs="Arial"/>
          <w:sz w:val="20"/>
          <w:szCs w:val="20"/>
        </w:rPr>
      </w:pPr>
    </w:p>
    <w:p w:rsidR="00AF5E9E" w:rsidRPr="00AF5E9E" w:rsidRDefault="00AF5E9E" w:rsidP="00AF5E9E">
      <w:pPr>
        <w:tabs>
          <w:tab w:val="left" w:pos="1331"/>
        </w:tabs>
        <w:jc w:val="both"/>
        <w:rPr>
          <w:rFonts w:cs="Arial"/>
          <w:sz w:val="20"/>
          <w:szCs w:val="20"/>
        </w:rPr>
      </w:pPr>
      <w:r w:rsidRPr="00AF5E9E">
        <w:rPr>
          <w:rFonts w:cs="Arial"/>
          <w:sz w:val="20"/>
          <w:szCs w:val="20"/>
        </w:rPr>
        <w:t>Thermoplastic bottles of two sizes, with a net weight of 750 ml and a net weight of 2 l are going to be used. The reason why we rather use plastic than glass, is because the shipping cost for plastic is less than glass and there is less breakage.</w:t>
      </w:r>
    </w:p>
    <w:p w:rsidR="00AF5E9E" w:rsidRPr="00AF5E9E" w:rsidRDefault="00AF5E9E" w:rsidP="00AF5E9E">
      <w:pPr>
        <w:tabs>
          <w:tab w:val="left" w:pos="1331"/>
        </w:tabs>
        <w:jc w:val="both"/>
        <w:rPr>
          <w:rFonts w:cs="Arial"/>
          <w:sz w:val="20"/>
          <w:szCs w:val="20"/>
        </w:rPr>
      </w:pPr>
    </w:p>
    <w:p w:rsidR="00AF5E9E" w:rsidRPr="00AF5E9E" w:rsidRDefault="00AF5E9E" w:rsidP="00AF5E9E">
      <w:pPr>
        <w:tabs>
          <w:tab w:val="left" w:pos="1331"/>
        </w:tabs>
        <w:jc w:val="both"/>
        <w:rPr>
          <w:rFonts w:cs="Arial"/>
          <w:sz w:val="20"/>
          <w:szCs w:val="20"/>
        </w:rPr>
      </w:pPr>
      <w:r w:rsidRPr="00AF5E9E">
        <w:rPr>
          <w:rFonts w:cs="Arial"/>
          <w:sz w:val="20"/>
          <w:szCs w:val="20"/>
        </w:rPr>
        <w:t xml:space="preserve">Table </w:t>
      </w:r>
      <w:r w:rsidRPr="00AF5E9E">
        <w:rPr>
          <w:rFonts w:cs="Arial"/>
          <w:sz w:val="20"/>
          <w:szCs w:val="20"/>
          <w:highlight w:val="yellow"/>
        </w:rPr>
        <w:t>…</w:t>
      </w:r>
      <w:r w:rsidRPr="00AF5E9E">
        <w:rPr>
          <w:rFonts w:cs="Arial"/>
          <w:sz w:val="20"/>
          <w:szCs w:val="20"/>
        </w:rPr>
        <w:t xml:space="preserve"> : Packaging and labelling regulations in the EU and the UK</w:t>
      </w:r>
    </w:p>
    <w:p w:rsidR="00AF5E9E" w:rsidRPr="00AF5E9E" w:rsidRDefault="00AF5E9E" w:rsidP="00AF5E9E">
      <w:pPr>
        <w:tabs>
          <w:tab w:val="left" w:pos="1331"/>
        </w:tabs>
        <w:jc w:val="both"/>
        <w:rPr>
          <w:rFonts w:cs="Arial"/>
          <w:sz w:val="20"/>
          <w:szCs w:val="20"/>
        </w:rPr>
      </w:pPr>
    </w:p>
    <w:tbl>
      <w:tblPr>
        <w:tblW w:w="900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3402"/>
        <w:gridCol w:w="4747"/>
      </w:tblGrid>
      <w:tr w:rsidR="00AF5E9E" w:rsidRPr="00AF5E9E" w:rsidTr="00787580">
        <w:trPr>
          <w:trHeight w:val="375"/>
        </w:trPr>
        <w:tc>
          <w:tcPr>
            <w:tcW w:w="851" w:type="dxa"/>
            <w:shd w:val="clear" w:color="auto" w:fill="auto"/>
            <w:tcMar>
              <w:top w:w="72" w:type="dxa"/>
              <w:left w:w="144" w:type="dxa"/>
              <w:bottom w:w="72" w:type="dxa"/>
              <w:right w:w="144" w:type="dxa"/>
            </w:tcMar>
            <w:hideMark/>
          </w:tcPr>
          <w:p w:rsidR="00AF5E9E" w:rsidRPr="00AF5E9E" w:rsidRDefault="00AF5E9E" w:rsidP="00AF5E9E">
            <w:pPr>
              <w:tabs>
                <w:tab w:val="left" w:pos="1331"/>
              </w:tabs>
              <w:jc w:val="both"/>
              <w:rPr>
                <w:rFonts w:cs="Arial"/>
                <w:sz w:val="20"/>
                <w:szCs w:val="20"/>
              </w:rPr>
            </w:pPr>
            <w:r w:rsidRPr="00AF5E9E">
              <w:rPr>
                <w:rFonts w:cs="Arial"/>
                <w:b/>
                <w:bCs/>
                <w:sz w:val="20"/>
                <w:szCs w:val="20"/>
                <w:lang w:val="en-ZA"/>
              </w:rPr>
              <w:lastRenderedPageBreak/>
              <w:t xml:space="preserve">Level </w:t>
            </w:r>
          </w:p>
        </w:tc>
        <w:tc>
          <w:tcPr>
            <w:tcW w:w="3402" w:type="dxa"/>
            <w:shd w:val="clear" w:color="auto" w:fill="auto"/>
            <w:tcMar>
              <w:top w:w="72" w:type="dxa"/>
              <w:left w:w="144" w:type="dxa"/>
              <w:bottom w:w="72" w:type="dxa"/>
              <w:right w:w="144" w:type="dxa"/>
            </w:tcMar>
            <w:hideMark/>
          </w:tcPr>
          <w:p w:rsidR="00AF5E9E" w:rsidRPr="00AF5E9E" w:rsidRDefault="00AF5E9E" w:rsidP="00AF5E9E">
            <w:pPr>
              <w:tabs>
                <w:tab w:val="left" w:pos="1331"/>
              </w:tabs>
              <w:jc w:val="both"/>
              <w:rPr>
                <w:rFonts w:cs="Arial"/>
                <w:sz w:val="20"/>
                <w:szCs w:val="20"/>
              </w:rPr>
            </w:pPr>
            <w:r w:rsidRPr="00AF5E9E">
              <w:rPr>
                <w:rFonts w:cs="Arial"/>
                <w:b/>
                <w:bCs/>
                <w:sz w:val="20"/>
                <w:szCs w:val="20"/>
                <w:lang w:val="en-ZA"/>
              </w:rPr>
              <w:t xml:space="preserve">Field </w:t>
            </w:r>
          </w:p>
        </w:tc>
        <w:tc>
          <w:tcPr>
            <w:tcW w:w="4747" w:type="dxa"/>
            <w:shd w:val="clear" w:color="auto" w:fill="auto"/>
            <w:tcMar>
              <w:top w:w="72" w:type="dxa"/>
              <w:left w:w="144" w:type="dxa"/>
              <w:bottom w:w="72" w:type="dxa"/>
              <w:right w:w="144" w:type="dxa"/>
            </w:tcMar>
            <w:hideMark/>
          </w:tcPr>
          <w:p w:rsidR="00AF5E9E" w:rsidRPr="00AF5E9E" w:rsidRDefault="00AF5E9E" w:rsidP="00AF5E9E">
            <w:pPr>
              <w:tabs>
                <w:tab w:val="left" w:pos="1331"/>
              </w:tabs>
              <w:jc w:val="both"/>
              <w:rPr>
                <w:rFonts w:cs="Arial"/>
                <w:sz w:val="20"/>
                <w:szCs w:val="20"/>
              </w:rPr>
            </w:pPr>
            <w:r w:rsidRPr="00AF5E9E">
              <w:rPr>
                <w:rFonts w:cs="Arial"/>
                <w:b/>
                <w:bCs/>
                <w:sz w:val="20"/>
                <w:szCs w:val="20"/>
                <w:lang w:val="en-ZA"/>
              </w:rPr>
              <w:t>Regulation</w:t>
            </w:r>
            <w:r>
              <w:rPr>
                <w:rFonts w:cs="Arial"/>
                <w:b/>
                <w:bCs/>
                <w:sz w:val="20"/>
                <w:szCs w:val="20"/>
                <w:lang w:val="en-ZA"/>
              </w:rPr>
              <w:t>/ Source of information</w:t>
            </w:r>
          </w:p>
        </w:tc>
      </w:tr>
      <w:tr w:rsidR="00AF5E9E" w:rsidRPr="00AF5E9E" w:rsidTr="00787580">
        <w:trPr>
          <w:trHeight w:val="191"/>
        </w:trPr>
        <w:tc>
          <w:tcPr>
            <w:tcW w:w="851" w:type="dxa"/>
            <w:shd w:val="clear" w:color="auto" w:fill="auto"/>
            <w:tcMar>
              <w:top w:w="72" w:type="dxa"/>
              <w:left w:w="144" w:type="dxa"/>
              <w:bottom w:w="72" w:type="dxa"/>
              <w:right w:w="144" w:type="dxa"/>
            </w:tcMar>
            <w:hideMark/>
          </w:tcPr>
          <w:p w:rsidR="00AF5E9E" w:rsidRPr="00AF5E9E" w:rsidRDefault="00AF5E9E" w:rsidP="00AF5E9E">
            <w:pPr>
              <w:tabs>
                <w:tab w:val="left" w:pos="1331"/>
              </w:tabs>
              <w:jc w:val="both"/>
              <w:rPr>
                <w:rFonts w:cs="Arial"/>
                <w:sz w:val="20"/>
                <w:szCs w:val="20"/>
              </w:rPr>
            </w:pPr>
            <w:r w:rsidRPr="00AF5E9E">
              <w:rPr>
                <w:rFonts w:cs="Arial"/>
                <w:sz w:val="20"/>
                <w:szCs w:val="20"/>
                <w:lang w:val="en-ZA"/>
              </w:rPr>
              <w:t xml:space="preserve">EU </w:t>
            </w:r>
          </w:p>
        </w:tc>
        <w:tc>
          <w:tcPr>
            <w:tcW w:w="3402" w:type="dxa"/>
            <w:shd w:val="clear" w:color="auto" w:fill="auto"/>
            <w:tcMar>
              <w:top w:w="18" w:type="dxa"/>
              <w:left w:w="108" w:type="dxa"/>
              <w:bottom w:w="0" w:type="dxa"/>
              <w:right w:w="108" w:type="dxa"/>
            </w:tcMar>
            <w:hideMark/>
          </w:tcPr>
          <w:p w:rsidR="00AF5E9E" w:rsidRPr="00AF5E9E" w:rsidRDefault="00AF5E9E" w:rsidP="00AF5E9E">
            <w:pPr>
              <w:tabs>
                <w:tab w:val="left" w:pos="1331"/>
              </w:tabs>
              <w:jc w:val="both"/>
              <w:rPr>
                <w:rFonts w:cs="Arial"/>
                <w:sz w:val="20"/>
                <w:szCs w:val="20"/>
              </w:rPr>
            </w:pPr>
            <w:r w:rsidRPr="00AF5E9E">
              <w:rPr>
                <w:rFonts w:cs="Arial"/>
                <w:sz w:val="20"/>
                <w:szCs w:val="20"/>
              </w:rPr>
              <w:t>Labelling for foodstuffs</w:t>
            </w:r>
            <w:r w:rsidRPr="00AF5E9E">
              <w:rPr>
                <w:rFonts w:cs="Arial"/>
                <w:sz w:val="20"/>
                <w:szCs w:val="20"/>
                <w:lang w:val="en-ZA"/>
              </w:rPr>
              <w:t xml:space="preserve"> </w:t>
            </w:r>
          </w:p>
        </w:tc>
        <w:tc>
          <w:tcPr>
            <w:tcW w:w="4747" w:type="dxa"/>
            <w:shd w:val="clear" w:color="auto" w:fill="auto"/>
            <w:tcMar>
              <w:top w:w="18" w:type="dxa"/>
              <w:left w:w="108" w:type="dxa"/>
              <w:bottom w:w="0" w:type="dxa"/>
              <w:right w:w="108" w:type="dxa"/>
            </w:tcMar>
            <w:hideMark/>
          </w:tcPr>
          <w:p w:rsidR="00AF5E9E" w:rsidRPr="001E5FB1" w:rsidRDefault="00AF5E9E" w:rsidP="00E41E5A">
            <w:pPr>
              <w:pStyle w:val="ListParagraph"/>
              <w:numPr>
                <w:ilvl w:val="0"/>
                <w:numId w:val="16"/>
              </w:numPr>
              <w:tabs>
                <w:tab w:val="left" w:pos="1331"/>
              </w:tabs>
              <w:jc w:val="both"/>
              <w:rPr>
                <w:rFonts w:cs="Arial"/>
                <w:sz w:val="20"/>
                <w:szCs w:val="20"/>
              </w:rPr>
            </w:pPr>
            <w:r w:rsidRPr="001E5FB1">
              <w:rPr>
                <w:rFonts w:cs="Arial"/>
                <w:sz w:val="20"/>
                <w:szCs w:val="20"/>
              </w:rPr>
              <w:t>Council Directive 2000/13/EC</w:t>
            </w:r>
            <w:r w:rsidRPr="001E5FB1">
              <w:rPr>
                <w:rFonts w:cs="Arial"/>
                <w:sz w:val="20"/>
                <w:szCs w:val="20"/>
                <w:lang w:val="en-ZA"/>
              </w:rPr>
              <w:t xml:space="preserve"> </w:t>
            </w:r>
          </w:p>
          <w:p w:rsidR="001E5FB1" w:rsidRPr="001E5FB1" w:rsidRDefault="001E5FB1" w:rsidP="00E41E5A">
            <w:pPr>
              <w:pStyle w:val="ListParagraph"/>
              <w:numPr>
                <w:ilvl w:val="0"/>
                <w:numId w:val="16"/>
              </w:numPr>
              <w:tabs>
                <w:tab w:val="left" w:pos="1331"/>
              </w:tabs>
              <w:jc w:val="both"/>
              <w:rPr>
                <w:rFonts w:cs="Arial"/>
                <w:sz w:val="20"/>
                <w:szCs w:val="20"/>
              </w:rPr>
            </w:pPr>
            <w:r w:rsidRPr="001E5FB1">
              <w:rPr>
                <w:rStyle w:val="HTMLCite"/>
                <w:i w:val="0"/>
                <w:sz w:val="18"/>
                <w:szCs w:val="18"/>
              </w:rPr>
              <w:t>European Commission, ec.europa.</w:t>
            </w:r>
            <w:r w:rsidRPr="001E5FB1">
              <w:rPr>
                <w:rStyle w:val="HTMLCite"/>
                <w:bCs/>
                <w:i w:val="0"/>
                <w:sz w:val="18"/>
                <w:szCs w:val="18"/>
              </w:rPr>
              <w:t>eu</w:t>
            </w:r>
            <w:r w:rsidRPr="001E5FB1">
              <w:rPr>
                <w:rStyle w:val="HTMLCite"/>
                <w:i w:val="0"/>
                <w:sz w:val="18"/>
                <w:szCs w:val="18"/>
              </w:rPr>
              <w:t>/</w:t>
            </w:r>
            <w:r w:rsidRPr="001E5FB1">
              <w:rPr>
                <w:rStyle w:val="HTMLCite"/>
                <w:bCs/>
                <w:i w:val="0"/>
                <w:sz w:val="18"/>
                <w:szCs w:val="18"/>
              </w:rPr>
              <w:t>food</w:t>
            </w:r>
            <w:r w:rsidRPr="001E5FB1">
              <w:rPr>
                <w:rStyle w:val="HTMLCite"/>
                <w:i w:val="0"/>
                <w:sz w:val="18"/>
                <w:szCs w:val="18"/>
              </w:rPr>
              <w:t>/</w:t>
            </w:r>
          </w:p>
        </w:tc>
      </w:tr>
      <w:tr w:rsidR="00AF5E9E" w:rsidRPr="00AF5E9E" w:rsidTr="00787580">
        <w:trPr>
          <w:trHeight w:val="171"/>
        </w:trPr>
        <w:tc>
          <w:tcPr>
            <w:tcW w:w="851" w:type="dxa"/>
            <w:vMerge w:val="restart"/>
            <w:shd w:val="clear" w:color="auto" w:fill="auto"/>
            <w:tcMar>
              <w:top w:w="72" w:type="dxa"/>
              <w:left w:w="144" w:type="dxa"/>
              <w:bottom w:w="72" w:type="dxa"/>
              <w:right w:w="144" w:type="dxa"/>
            </w:tcMar>
            <w:hideMark/>
          </w:tcPr>
          <w:p w:rsidR="00AF5E9E" w:rsidRPr="00AF5E9E" w:rsidRDefault="00AF5E9E" w:rsidP="00AF5E9E">
            <w:pPr>
              <w:tabs>
                <w:tab w:val="left" w:pos="1331"/>
              </w:tabs>
              <w:jc w:val="both"/>
              <w:rPr>
                <w:rFonts w:cs="Arial"/>
                <w:sz w:val="20"/>
                <w:szCs w:val="20"/>
              </w:rPr>
            </w:pPr>
            <w:r w:rsidRPr="00AF5E9E">
              <w:rPr>
                <w:rFonts w:cs="Arial"/>
                <w:sz w:val="20"/>
                <w:szCs w:val="20"/>
                <w:lang w:val="en-ZA"/>
              </w:rPr>
              <w:t xml:space="preserve">UK </w:t>
            </w:r>
          </w:p>
        </w:tc>
        <w:tc>
          <w:tcPr>
            <w:tcW w:w="3402" w:type="dxa"/>
            <w:shd w:val="clear" w:color="auto" w:fill="auto"/>
            <w:tcMar>
              <w:top w:w="18" w:type="dxa"/>
              <w:left w:w="108" w:type="dxa"/>
              <w:bottom w:w="0" w:type="dxa"/>
              <w:right w:w="108" w:type="dxa"/>
            </w:tcMar>
            <w:hideMark/>
          </w:tcPr>
          <w:p w:rsidR="00AF5E9E" w:rsidRPr="00AF5E9E" w:rsidRDefault="00AF5E9E" w:rsidP="00AF5E9E">
            <w:pPr>
              <w:tabs>
                <w:tab w:val="left" w:pos="1331"/>
              </w:tabs>
              <w:jc w:val="both"/>
              <w:rPr>
                <w:rFonts w:cs="Arial"/>
                <w:sz w:val="20"/>
                <w:szCs w:val="20"/>
              </w:rPr>
            </w:pPr>
            <w:r w:rsidRPr="00AF5E9E">
              <w:rPr>
                <w:rFonts w:cs="Arial"/>
                <w:sz w:val="20"/>
                <w:szCs w:val="20"/>
              </w:rPr>
              <w:t>Labelling requirements for food</w:t>
            </w:r>
            <w:r w:rsidRPr="00AF5E9E">
              <w:rPr>
                <w:rFonts w:cs="Arial"/>
                <w:sz w:val="20"/>
                <w:szCs w:val="20"/>
                <w:lang w:val="en-ZA"/>
              </w:rPr>
              <w:t xml:space="preserve"> </w:t>
            </w:r>
          </w:p>
        </w:tc>
        <w:tc>
          <w:tcPr>
            <w:tcW w:w="4747" w:type="dxa"/>
            <w:shd w:val="clear" w:color="auto" w:fill="auto"/>
            <w:tcMar>
              <w:top w:w="18" w:type="dxa"/>
              <w:left w:w="108" w:type="dxa"/>
              <w:bottom w:w="0" w:type="dxa"/>
              <w:right w:w="108" w:type="dxa"/>
            </w:tcMar>
            <w:hideMark/>
          </w:tcPr>
          <w:p w:rsidR="00AF5E9E" w:rsidRPr="001E5FB1" w:rsidRDefault="001E5FB1" w:rsidP="00E41E5A">
            <w:pPr>
              <w:pStyle w:val="ListParagraph"/>
              <w:numPr>
                <w:ilvl w:val="0"/>
                <w:numId w:val="17"/>
              </w:numPr>
              <w:rPr>
                <w:sz w:val="18"/>
                <w:szCs w:val="18"/>
                <w:lang w:val="en-US"/>
              </w:rPr>
            </w:pPr>
            <w:r w:rsidRPr="001E5FB1">
              <w:rPr>
                <w:sz w:val="18"/>
                <w:szCs w:val="18"/>
                <w:lang w:val="en-US"/>
              </w:rPr>
              <w:t>Food Standards Agency,  www.food.gov.uk</w:t>
            </w:r>
          </w:p>
        </w:tc>
      </w:tr>
      <w:tr w:rsidR="00AF5E9E" w:rsidRPr="00AF5E9E" w:rsidTr="00787580">
        <w:trPr>
          <w:trHeight w:val="204"/>
        </w:trPr>
        <w:tc>
          <w:tcPr>
            <w:tcW w:w="851" w:type="dxa"/>
            <w:vMerge/>
            <w:shd w:val="clear" w:color="auto" w:fill="auto"/>
            <w:vAlign w:val="center"/>
            <w:hideMark/>
          </w:tcPr>
          <w:p w:rsidR="00AF5E9E" w:rsidRPr="00AF5E9E" w:rsidRDefault="00AF5E9E" w:rsidP="00AF5E9E">
            <w:pPr>
              <w:tabs>
                <w:tab w:val="left" w:pos="1331"/>
              </w:tabs>
              <w:jc w:val="both"/>
              <w:rPr>
                <w:rFonts w:cs="Arial"/>
                <w:sz w:val="20"/>
                <w:szCs w:val="20"/>
              </w:rPr>
            </w:pPr>
          </w:p>
        </w:tc>
        <w:tc>
          <w:tcPr>
            <w:tcW w:w="3402" w:type="dxa"/>
            <w:shd w:val="clear" w:color="auto" w:fill="auto"/>
            <w:tcMar>
              <w:top w:w="18" w:type="dxa"/>
              <w:left w:w="108" w:type="dxa"/>
              <w:bottom w:w="0" w:type="dxa"/>
              <w:right w:w="108" w:type="dxa"/>
            </w:tcMar>
            <w:hideMark/>
          </w:tcPr>
          <w:p w:rsidR="00AF5E9E" w:rsidRPr="00AF5E9E" w:rsidRDefault="00AF5E9E" w:rsidP="00AF5E9E">
            <w:pPr>
              <w:tabs>
                <w:tab w:val="left" w:pos="1331"/>
              </w:tabs>
              <w:jc w:val="both"/>
              <w:rPr>
                <w:rFonts w:cs="Arial"/>
                <w:sz w:val="20"/>
                <w:szCs w:val="20"/>
              </w:rPr>
            </w:pPr>
            <w:r w:rsidRPr="00AF5E9E">
              <w:rPr>
                <w:rFonts w:cs="Arial"/>
                <w:sz w:val="20"/>
                <w:szCs w:val="20"/>
              </w:rPr>
              <w:t>Food contact materials</w:t>
            </w:r>
            <w:r w:rsidRPr="00AF5E9E">
              <w:rPr>
                <w:rFonts w:cs="Arial"/>
                <w:sz w:val="20"/>
                <w:szCs w:val="20"/>
                <w:lang w:val="en-ZA"/>
              </w:rPr>
              <w:t xml:space="preserve"> </w:t>
            </w:r>
          </w:p>
        </w:tc>
        <w:tc>
          <w:tcPr>
            <w:tcW w:w="4747" w:type="dxa"/>
            <w:shd w:val="clear" w:color="auto" w:fill="auto"/>
            <w:tcMar>
              <w:top w:w="18" w:type="dxa"/>
              <w:left w:w="108" w:type="dxa"/>
              <w:bottom w:w="0" w:type="dxa"/>
              <w:right w:w="108" w:type="dxa"/>
            </w:tcMar>
            <w:hideMark/>
          </w:tcPr>
          <w:p w:rsidR="00AF5E9E" w:rsidRPr="001E5FB1" w:rsidRDefault="001E5FB1" w:rsidP="00E41E5A">
            <w:pPr>
              <w:pStyle w:val="ListParagraph"/>
              <w:numPr>
                <w:ilvl w:val="0"/>
                <w:numId w:val="17"/>
              </w:numPr>
              <w:rPr>
                <w:sz w:val="18"/>
                <w:szCs w:val="18"/>
                <w:lang w:val="en-US"/>
              </w:rPr>
            </w:pPr>
            <w:r w:rsidRPr="001E5FB1">
              <w:rPr>
                <w:sz w:val="18"/>
                <w:szCs w:val="18"/>
                <w:lang w:val="en-US"/>
              </w:rPr>
              <w:t>Food Standards Agency,  www.food.gov.uk</w:t>
            </w:r>
          </w:p>
        </w:tc>
      </w:tr>
    </w:tbl>
    <w:p w:rsidR="00AF5E9E" w:rsidRPr="00AF5E9E" w:rsidRDefault="00AF5E9E" w:rsidP="00AF5E9E">
      <w:pPr>
        <w:tabs>
          <w:tab w:val="left" w:pos="1331"/>
        </w:tabs>
        <w:jc w:val="both"/>
        <w:rPr>
          <w:rFonts w:cs="Arial"/>
          <w:sz w:val="20"/>
          <w:szCs w:val="20"/>
        </w:rPr>
      </w:pPr>
    </w:p>
    <w:p w:rsidR="00AF5E9E" w:rsidRPr="00AF5E9E" w:rsidRDefault="00AF5E9E" w:rsidP="00AF5E9E">
      <w:pPr>
        <w:tabs>
          <w:tab w:val="left" w:pos="1331"/>
        </w:tabs>
        <w:jc w:val="both"/>
        <w:rPr>
          <w:rFonts w:cs="Arial"/>
          <w:sz w:val="20"/>
          <w:szCs w:val="20"/>
        </w:rPr>
      </w:pPr>
      <w:r w:rsidRPr="00AF5E9E">
        <w:rPr>
          <w:rFonts w:cs="Arial"/>
          <w:sz w:val="20"/>
          <w:szCs w:val="20"/>
        </w:rPr>
        <w:t>As we plan to distribute via ASDA UK (Wal*Mart in the UK), their labelling and packaging requirements are discussed</w:t>
      </w:r>
      <w:r w:rsidR="002D2942">
        <w:rPr>
          <w:rFonts w:cs="Arial"/>
          <w:sz w:val="20"/>
          <w:szCs w:val="20"/>
          <w:vertAlign w:val="superscript"/>
        </w:rPr>
        <w:t xml:space="preserve"> </w:t>
      </w:r>
      <w:r w:rsidR="002D2942">
        <w:rPr>
          <w:rFonts w:cs="Arial"/>
          <w:sz w:val="20"/>
          <w:szCs w:val="20"/>
        </w:rPr>
        <w:t>(Fedoil, 2011, ASDA, 2011):</w:t>
      </w:r>
    </w:p>
    <w:p w:rsidR="00AF5E9E" w:rsidRPr="00AF5E9E" w:rsidRDefault="00AF5E9E" w:rsidP="00AF5E9E">
      <w:pPr>
        <w:tabs>
          <w:tab w:val="left" w:pos="1331"/>
        </w:tabs>
        <w:jc w:val="both"/>
        <w:rPr>
          <w:rFonts w:cs="Arial"/>
          <w:sz w:val="20"/>
          <w:szCs w:val="20"/>
        </w:rPr>
      </w:pPr>
    </w:p>
    <w:p w:rsidR="00AF5E9E" w:rsidRPr="00AF5E9E" w:rsidRDefault="00AF5E9E" w:rsidP="00AF5E9E">
      <w:pPr>
        <w:tabs>
          <w:tab w:val="left" w:pos="1331"/>
        </w:tabs>
        <w:jc w:val="both"/>
        <w:rPr>
          <w:rFonts w:cs="Arial"/>
          <w:sz w:val="20"/>
          <w:szCs w:val="20"/>
        </w:rPr>
      </w:pPr>
      <w:r w:rsidRPr="00AF5E9E">
        <w:rPr>
          <w:rFonts w:cs="Arial"/>
          <w:sz w:val="20"/>
          <w:szCs w:val="20"/>
          <w:lang w:val="en-ZA"/>
        </w:rPr>
        <w:t>Packaging volume and weight must be the minimum amount to maintain the necessary levels of safety, hygiene and acceptance for the packed product and for the consumer</w:t>
      </w:r>
      <w:r w:rsidR="002D2942">
        <w:rPr>
          <w:rFonts w:cs="Arial"/>
          <w:sz w:val="20"/>
          <w:szCs w:val="20"/>
          <w:lang w:val="en-ZA"/>
        </w:rPr>
        <w:t xml:space="preserve">. </w:t>
      </w:r>
      <w:r w:rsidRPr="00AF5E9E">
        <w:rPr>
          <w:rFonts w:cs="Arial"/>
          <w:sz w:val="20"/>
          <w:szCs w:val="20"/>
          <w:lang w:val="en-ZA"/>
        </w:rPr>
        <w:t xml:space="preserve">Packaging must be manufactured so as to permit reuse or recovery in accordance with specific requirements, and noxious or hazardous substances in packaging must be minimised in emissions, ash or landfill </w:t>
      </w:r>
    </w:p>
    <w:p w:rsidR="00AF5E9E" w:rsidRPr="00AF5E9E" w:rsidRDefault="00AF5E9E" w:rsidP="00AF5E9E">
      <w:pPr>
        <w:tabs>
          <w:tab w:val="left" w:pos="1331"/>
        </w:tabs>
        <w:jc w:val="both"/>
        <w:rPr>
          <w:rFonts w:cs="Arial"/>
          <w:sz w:val="20"/>
          <w:szCs w:val="20"/>
        </w:rPr>
      </w:pPr>
    </w:p>
    <w:p w:rsidR="00AF5E9E" w:rsidRPr="00AF5E9E" w:rsidRDefault="00AF5E9E" w:rsidP="00AF5E9E">
      <w:pPr>
        <w:tabs>
          <w:tab w:val="left" w:pos="1331"/>
        </w:tabs>
        <w:jc w:val="both"/>
        <w:rPr>
          <w:rFonts w:cs="Arial"/>
          <w:sz w:val="20"/>
          <w:szCs w:val="20"/>
        </w:rPr>
      </w:pPr>
      <w:r w:rsidRPr="00AF5E9E">
        <w:rPr>
          <w:rFonts w:cs="Arial"/>
          <w:bCs/>
          <w:sz w:val="20"/>
          <w:szCs w:val="20"/>
        </w:rPr>
        <w:t>Transit case packing requirements of ASDA</w:t>
      </w:r>
      <w:r w:rsidRPr="00AF5E9E">
        <w:rPr>
          <w:rFonts w:cs="Arial"/>
          <w:sz w:val="20"/>
          <w:szCs w:val="20"/>
        </w:rPr>
        <w:t>: Cases containing more</w:t>
      </w:r>
      <w:r w:rsidR="002D2942">
        <w:rPr>
          <w:rFonts w:cs="Arial"/>
          <w:sz w:val="20"/>
          <w:szCs w:val="20"/>
        </w:rPr>
        <w:t xml:space="preserve"> than one product is prohibited</w:t>
      </w:r>
      <w:r w:rsidR="002D2942">
        <w:rPr>
          <w:rFonts w:cs="Arial"/>
          <w:sz w:val="20"/>
          <w:szCs w:val="20"/>
          <w:lang w:val="en-ZA"/>
        </w:rPr>
        <w:t xml:space="preserve">. </w:t>
      </w:r>
      <w:r w:rsidRPr="00AF5E9E">
        <w:rPr>
          <w:rFonts w:cs="Arial"/>
          <w:sz w:val="20"/>
          <w:szCs w:val="20"/>
          <w:lang w:val="en-ZA"/>
        </w:rPr>
        <w:t>The supplier must ensure the corrugated case is optimally sized to suit the contents. Internal dividers should be utilised on fragile products which are deemed likely to susta</w:t>
      </w:r>
      <w:r w:rsidR="002D2942">
        <w:rPr>
          <w:rFonts w:cs="Arial"/>
          <w:sz w:val="20"/>
          <w:szCs w:val="20"/>
          <w:lang w:val="en-ZA"/>
        </w:rPr>
        <w:t xml:space="preserve">in damage during distribution. </w:t>
      </w:r>
      <w:r w:rsidRPr="00AF5E9E">
        <w:rPr>
          <w:rFonts w:cs="Arial"/>
          <w:sz w:val="20"/>
          <w:szCs w:val="20"/>
          <w:lang w:val="en-ZA"/>
        </w:rPr>
        <w:t>It is essential that the transit packaging protects against damage • Adhesive tape or glue are the only methods to be used for securing case flaps.</w:t>
      </w:r>
      <w:r>
        <w:rPr>
          <w:rFonts w:cs="Arial"/>
          <w:sz w:val="20"/>
          <w:szCs w:val="20"/>
        </w:rPr>
        <w:t xml:space="preserve"> </w:t>
      </w:r>
      <w:r w:rsidRPr="00AF5E9E">
        <w:rPr>
          <w:rFonts w:cs="Arial"/>
          <w:bCs/>
          <w:sz w:val="20"/>
          <w:szCs w:val="20"/>
          <w:lang w:val="en-ZA"/>
        </w:rPr>
        <w:t>For compliance issues to the above an ASDA buyer</w:t>
      </w:r>
      <w:r>
        <w:rPr>
          <w:rFonts w:cs="Arial"/>
          <w:bCs/>
          <w:sz w:val="20"/>
          <w:szCs w:val="20"/>
          <w:lang w:val="en-ZA"/>
        </w:rPr>
        <w:t xml:space="preserve"> </w:t>
      </w:r>
      <w:r w:rsidRPr="00AF5E9E">
        <w:rPr>
          <w:rFonts w:cs="Arial"/>
          <w:sz w:val="20"/>
          <w:szCs w:val="20"/>
        </w:rPr>
        <w:t>can be contacted.</w:t>
      </w:r>
      <w:r w:rsidR="002D2942">
        <w:rPr>
          <w:rFonts w:cs="Arial"/>
          <w:sz w:val="20"/>
          <w:szCs w:val="20"/>
        </w:rPr>
        <w:t xml:space="preserve"> </w:t>
      </w:r>
      <w:r w:rsidRPr="00AF5E9E">
        <w:rPr>
          <w:rFonts w:cs="Arial"/>
          <w:sz w:val="20"/>
          <w:szCs w:val="20"/>
        </w:rPr>
        <w:t>The advantage of using the ASDA private mark is that all EU regulations are met, and if there is later decided to distribute to other countries, the same label can be used to comply to the Wal*Mart requirements.</w:t>
      </w:r>
    </w:p>
    <w:p w:rsidR="00AF5E9E" w:rsidRPr="00AF5E9E" w:rsidRDefault="00AF5E9E" w:rsidP="00AF5E9E">
      <w:pPr>
        <w:tabs>
          <w:tab w:val="left" w:pos="1331"/>
        </w:tabs>
        <w:jc w:val="both"/>
        <w:rPr>
          <w:rFonts w:cs="Arial"/>
          <w:sz w:val="20"/>
          <w:szCs w:val="20"/>
        </w:rPr>
      </w:pPr>
    </w:p>
    <w:p w:rsidR="00AF5E9E" w:rsidRPr="00AF5E9E" w:rsidRDefault="00AF5E9E" w:rsidP="00AF5E9E">
      <w:pPr>
        <w:jc w:val="both"/>
        <w:rPr>
          <w:rFonts w:cs="Arial"/>
          <w:sz w:val="20"/>
          <w:szCs w:val="20"/>
        </w:rPr>
      </w:pPr>
      <w:r w:rsidRPr="00AF5E9E">
        <w:rPr>
          <w:rFonts w:cs="Arial"/>
          <w:sz w:val="20"/>
          <w:szCs w:val="20"/>
        </w:rPr>
        <w:t xml:space="preserve">In SA the regulations of edible fats and oil products fall under GN R146 of 1 March 2010 that brought the new Food </w:t>
      </w:r>
      <w:r w:rsidR="002D2942" w:rsidRPr="00AF5E9E">
        <w:rPr>
          <w:rFonts w:cs="Arial"/>
          <w:sz w:val="20"/>
          <w:szCs w:val="20"/>
        </w:rPr>
        <w:t>Labelling</w:t>
      </w:r>
      <w:r w:rsidRPr="00AF5E9E">
        <w:rPr>
          <w:rFonts w:cs="Arial"/>
          <w:sz w:val="20"/>
          <w:szCs w:val="20"/>
        </w:rPr>
        <w:t xml:space="preserve"> regulations into effect in two stages as from 1 June 2010 and 1 March 2012.  In SA it is not necessary to put the gross weight on the label and at least one of the official languages must be used on the label, while in the UK English must be used on the label.</w:t>
      </w:r>
    </w:p>
    <w:p w:rsidR="00AF5E9E" w:rsidRPr="002D2942" w:rsidRDefault="00AF5E9E" w:rsidP="00FE7683">
      <w:pPr>
        <w:pStyle w:val="Heading4"/>
        <w:jc w:val="both"/>
        <w:rPr>
          <w:b w:val="0"/>
          <w:sz w:val="20"/>
          <w:szCs w:val="20"/>
          <w:u w:val="single"/>
        </w:rPr>
      </w:pPr>
      <w:r w:rsidRPr="00AF5E9E">
        <w:rPr>
          <w:b w:val="0"/>
          <w:sz w:val="20"/>
          <w:szCs w:val="20"/>
        </w:rPr>
        <w:t>Food contact materials and articles, including those used for food packaging, are controlled by a comprehensive EU harmonised legislation that has been fully implemented in the UK. This legislation is particularly thorough in its control of plastic materials and articles intended for food use. For information on the safety of packaging</w:t>
      </w:r>
      <w:r w:rsidR="002D2942">
        <w:rPr>
          <w:b w:val="0"/>
          <w:sz w:val="20"/>
          <w:szCs w:val="20"/>
        </w:rPr>
        <w:t xml:space="preserve"> in the UK</w:t>
      </w:r>
      <w:r w:rsidRPr="00AF5E9E">
        <w:rPr>
          <w:b w:val="0"/>
          <w:sz w:val="20"/>
          <w:szCs w:val="20"/>
        </w:rPr>
        <w:t xml:space="preserve"> please contact </w:t>
      </w:r>
      <w:r>
        <w:rPr>
          <w:b w:val="0"/>
          <w:sz w:val="20"/>
          <w:szCs w:val="20"/>
        </w:rPr>
        <w:t>the FSA.</w:t>
      </w:r>
      <w:r w:rsidR="002D2942">
        <w:rPr>
          <w:b w:val="0"/>
          <w:sz w:val="20"/>
          <w:szCs w:val="20"/>
        </w:rPr>
        <w:t xml:space="preserve"> </w:t>
      </w:r>
      <w:r w:rsidRPr="00AF5E9E">
        <w:rPr>
          <w:b w:val="0"/>
          <w:sz w:val="20"/>
          <w:szCs w:val="20"/>
        </w:rPr>
        <w:t xml:space="preserve">For general information on labelling requirements for food, please contact the </w:t>
      </w:r>
      <w:r w:rsidR="002D2942">
        <w:rPr>
          <w:b w:val="0"/>
          <w:sz w:val="20"/>
          <w:szCs w:val="20"/>
        </w:rPr>
        <w:t xml:space="preserve">UK </w:t>
      </w:r>
      <w:r w:rsidRPr="00AF5E9E">
        <w:rPr>
          <w:b w:val="0"/>
          <w:sz w:val="20"/>
          <w:szCs w:val="20"/>
        </w:rPr>
        <w:t>Department for Environment, Food and Rural Affairs (DEFRA)</w:t>
      </w:r>
      <w:r>
        <w:rPr>
          <w:b w:val="0"/>
          <w:sz w:val="20"/>
          <w:szCs w:val="20"/>
        </w:rPr>
        <w:t>.</w:t>
      </w:r>
    </w:p>
    <w:p w:rsidR="00AE295A" w:rsidRPr="000D562F" w:rsidRDefault="00AE295A" w:rsidP="00FE7683">
      <w:pPr>
        <w:rPr>
          <w:rFonts w:cs="Arial"/>
          <w:sz w:val="20"/>
          <w:szCs w:val="20"/>
        </w:rPr>
        <w:sectPr w:rsidR="00AE295A" w:rsidRPr="000D562F" w:rsidSect="00C65C51">
          <w:pgSz w:w="12240" w:h="15840"/>
          <w:pgMar w:top="1418" w:right="1418" w:bottom="1418" w:left="1418" w:header="720" w:footer="720" w:gutter="0"/>
          <w:cols w:space="720" w:equalWidth="0">
            <w:col w:w="9022" w:space="720"/>
          </w:cols>
          <w:docGrid w:linePitch="360"/>
        </w:sectPr>
      </w:pPr>
    </w:p>
    <w:p w:rsidR="006C3289" w:rsidRPr="000D562F" w:rsidRDefault="00F647CC">
      <w:pPr>
        <w:pStyle w:val="Heading1"/>
        <w:pBdr>
          <w:top w:val="single" w:sz="4" w:space="1" w:color="auto"/>
          <w:bottom w:val="single" w:sz="4" w:space="1" w:color="auto"/>
        </w:pBdr>
        <w:jc w:val="center"/>
        <w:rPr>
          <w:sz w:val="20"/>
          <w:szCs w:val="20"/>
        </w:rPr>
      </w:pPr>
      <w:bookmarkStart w:id="23" w:name="_Toc290627306"/>
      <w:r w:rsidRPr="000D562F">
        <w:rPr>
          <w:sz w:val="20"/>
          <w:szCs w:val="20"/>
        </w:rPr>
        <w:lastRenderedPageBreak/>
        <w:t xml:space="preserve">G. </w:t>
      </w:r>
      <w:r w:rsidR="00235D21" w:rsidRPr="000D562F">
        <w:rPr>
          <w:sz w:val="20"/>
          <w:szCs w:val="20"/>
        </w:rPr>
        <w:t>Prices</w:t>
      </w:r>
      <w:bookmarkEnd w:id="23"/>
    </w:p>
    <w:p w:rsidR="006C3289" w:rsidRDefault="006C3289">
      <w:pPr>
        <w:ind w:left="360"/>
        <w:jc w:val="center"/>
        <w:rPr>
          <w:rFonts w:cs="Arial"/>
          <w:sz w:val="20"/>
          <w:szCs w:val="20"/>
        </w:rPr>
      </w:pPr>
    </w:p>
    <w:p w:rsidR="00CC250F" w:rsidRDefault="002E0027" w:rsidP="00B6220C">
      <w:pPr>
        <w:jc w:val="both"/>
        <w:rPr>
          <w:rFonts w:cs="Arial"/>
          <w:sz w:val="20"/>
          <w:szCs w:val="20"/>
        </w:rPr>
      </w:pPr>
      <w:r>
        <w:rPr>
          <w:rFonts w:cs="Arial"/>
          <w:sz w:val="20"/>
          <w:szCs w:val="20"/>
        </w:rPr>
        <w:t xml:space="preserve">It is important to state again as previously stated that </w:t>
      </w:r>
      <w:r w:rsidR="00EA4DB5">
        <w:rPr>
          <w:rFonts w:cs="Arial"/>
          <w:sz w:val="20"/>
          <w:szCs w:val="20"/>
        </w:rPr>
        <w:t>the levels of sunflower seed production and prices are interrelated to, and determinant of, sunflower oil production levels and prices.</w:t>
      </w:r>
    </w:p>
    <w:p w:rsidR="00EA4DB5" w:rsidRDefault="00EA4DB5" w:rsidP="00B6220C">
      <w:pPr>
        <w:jc w:val="both"/>
        <w:rPr>
          <w:rFonts w:cs="Arial"/>
          <w:sz w:val="20"/>
          <w:szCs w:val="20"/>
        </w:rPr>
      </w:pPr>
    </w:p>
    <w:p w:rsidR="009C7E9B" w:rsidRDefault="009C7E9B" w:rsidP="009C7E9B">
      <w:pPr>
        <w:jc w:val="both"/>
        <w:rPr>
          <w:rFonts w:cs="Arial"/>
          <w:sz w:val="20"/>
          <w:szCs w:val="20"/>
        </w:rPr>
      </w:pPr>
      <w:r>
        <w:rPr>
          <w:rFonts w:cs="Arial"/>
          <w:sz w:val="20"/>
          <w:szCs w:val="20"/>
        </w:rPr>
        <w:t xml:space="preserve">According to the CBI (2009), in genral terms, a number of factors influence the price of vegetable oils, such as climatic conditions, demand for biofuels, increased demand due to income growth and population growth and health concerns driving the substitution of animal fats for vegetable oils and fats </w:t>
      </w:r>
    </w:p>
    <w:p w:rsidR="009C7E9B" w:rsidRDefault="009C7E9B" w:rsidP="00B6220C">
      <w:pPr>
        <w:jc w:val="both"/>
        <w:rPr>
          <w:rFonts w:cs="Arial"/>
          <w:sz w:val="20"/>
          <w:szCs w:val="20"/>
        </w:rPr>
      </w:pPr>
    </w:p>
    <w:p w:rsidR="009C7E9B" w:rsidRDefault="009C7E9B" w:rsidP="009C7E9B">
      <w:pPr>
        <w:jc w:val="both"/>
        <w:rPr>
          <w:rFonts w:cs="Arial"/>
          <w:sz w:val="20"/>
          <w:szCs w:val="20"/>
        </w:rPr>
      </w:pPr>
      <w:r>
        <w:rPr>
          <w:rFonts w:cs="Arial"/>
          <w:sz w:val="20"/>
          <w:szCs w:val="20"/>
        </w:rPr>
        <w:t>In more specific and current terms, The Food Outlook by the FAO in November 2010 identified four key unknowns that will impact world oilseed prices in the near future and which might cause world oilseed prices to increase beyond their present level.  These four key unknowns are the following:</w:t>
      </w:r>
    </w:p>
    <w:p w:rsidR="009C7E9B" w:rsidRPr="00D514EE" w:rsidRDefault="009C7E9B" w:rsidP="009C7E9B">
      <w:pPr>
        <w:pStyle w:val="ListParagraph"/>
        <w:numPr>
          <w:ilvl w:val="0"/>
          <w:numId w:val="25"/>
        </w:numPr>
        <w:jc w:val="both"/>
        <w:rPr>
          <w:rFonts w:cs="Arial"/>
          <w:sz w:val="20"/>
          <w:szCs w:val="20"/>
        </w:rPr>
      </w:pPr>
      <w:r w:rsidRPr="00D514EE">
        <w:rPr>
          <w:rFonts w:cs="Arial"/>
          <w:sz w:val="20"/>
          <w:szCs w:val="20"/>
        </w:rPr>
        <w:t>the impact of the currently developing La Niña weather pattern on the next South American soy crop and on Southeast Asia’s palm oil production</w:t>
      </w:r>
    </w:p>
    <w:p w:rsidR="009C7E9B" w:rsidRPr="00D514EE" w:rsidRDefault="009C7E9B" w:rsidP="009C7E9B">
      <w:pPr>
        <w:pStyle w:val="ListParagraph"/>
        <w:numPr>
          <w:ilvl w:val="0"/>
          <w:numId w:val="25"/>
        </w:numPr>
        <w:jc w:val="both"/>
        <w:rPr>
          <w:rFonts w:cs="Arial"/>
          <w:sz w:val="20"/>
          <w:szCs w:val="20"/>
        </w:rPr>
      </w:pPr>
      <w:r w:rsidRPr="00D514EE">
        <w:rPr>
          <w:rFonts w:cs="Arial"/>
          <w:sz w:val="20"/>
          <w:szCs w:val="20"/>
        </w:rPr>
        <w:t>next year’s allocation of land among soy, maize and wheat, primarily in the United States, as all three commodities appear to be at risk of additional tightness in 2011/2012</w:t>
      </w:r>
    </w:p>
    <w:p w:rsidR="009C7E9B" w:rsidRPr="00D514EE" w:rsidRDefault="009C7E9B" w:rsidP="009C7E9B">
      <w:pPr>
        <w:pStyle w:val="ListParagraph"/>
        <w:numPr>
          <w:ilvl w:val="0"/>
          <w:numId w:val="25"/>
        </w:numPr>
        <w:jc w:val="both"/>
        <w:rPr>
          <w:rFonts w:cs="Arial"/>
          <w:sz w:val="20"/>
          <w:szCs w:val="20"/>
        </w:rPr>
      </w:pPr>
      <w:r w:rsidRPr="00D514EE">
        <w:rPr>
          <w:rFonts w:cs="Arial"/>
          <w:sz w:val="20"/>
          <w:szCs w:val="20"/>
        </w:rPr>
        <w:t>the pattern of energy prices, which will influence vegetable oil demand by biodiesel producers</w:t>
      </w:r>
    </w:p>
    <w:p w:rsidR="009C7E9B" w:rsidRPr="00D514EE" w:rsidRDefault="009C7E9B" w:rsidP="009C7E9B">
      <w:pPr>
        <w:pStyle w:val="ListParagraph"/>
        <w:numPr>
          <w:ilvl w:val="0"/>
          <w:numId w:val="25"/>
        </w:numPr>
        <w:jc w:val="both"/>
        <w:rPr>
          <w:rFonts w:cs="Arial"/>
          <w:sz w:val="20"/>
          <w:szCs w:val="20"/>
        </w:rPr>
      </w:pPr>
      <w:r w:rsidRPr="00D514EE">
        <w:rPr>
          <w:rFonts w:cs="Arial"/>
          <w:sz w:val="20"/>
          <w:szCs w:val="20"/>
        </w:rPr>
        <w:t>the development of the United States currency given its influence on global trade pattrens</w:t>
      </w:r>
    </w:p>
    <w:p w:rsidR="009C7E9B" w:rsidRDefault="009C7E9B" w:rsidP="00B6220C">
      <w:pPr>
        <w:jc w:val="both"/>
        <w:rPr>
          <w:rFonts w:cs="Arial"/>
          <w:sz w:val="20"/>
          <w:szCs w:val="20"/>
        </w:rPr>
      </w:pPr>
    </w:p>
    <w:p w:rsidR="00C04E0D" w:rsidRDefault="009C7E9B" w:rsidP="00B6220C">
      <w:pPr>
        <w:jc w:val="both"/>
        <w:rPr>
          <w:rFonts w:cs="Arial"/>
          <w:sz w:val="20"/>
          <w:szCs w:val="20"/>
        </w:rPr>
      </w:pPr>
      <w:r>
        <w:rPr>
          <w:rFonts w:cs="Arial"/>
          <w:sz w:val="20"/>
          <w:szCs w:val="20"/>
        </w:rPr>
        <w:t xml:space="preserve">The impact of energy prices on oilseed prices is an old food versus fuel debate.  As petroleum prices increases the demand for a substitute product such as biofuel also increases.  As the demand for biofuel increases </w:t>
      </w:r>
      <w:r w:rsidR="00C04E0D">
        <w:rPr>
          <w:rFonts w:cs="Arial"/>
          <w:sz w:val="20"/>
          <w:szCs w:val="20"/>
        </w:rPr>
        <w:t xml:space="preserve">the demand for biofuel feedstocks increases leading to higher prices for vegetable oils such as sunflower oil and palm oil which serves as a fedstock for biofuel.  </w:t>
      </w:r>
    </w:p>
    <w:p w:rsidR="006812FA" w:rsidRDefault="006812FA" w:rsidP="00B6220C">
      <w:pPr>
        <w:jc w:val="both"/>
        <w:rPr>
          <w:rFonts w:cs="Arial"/>
          <w:sz w:val="20"/>
          <w:szCs w:val="20"/>
        </w:rPr>
      </w:pPr>
    </w:p>
    <w:p w:rsidR="006812FA" w:rsidRDefault="006812FA" w:rsidP="00B6220C">
      <w:pPr>
        <w:jc w:val="both"/>
        <w:rPr>
          <w:rFonts w:cs="Arial"/>
          <w:sz w:val="20"/>
          <w:szCs w:val="20"/>
        </w:rPr>
      </w:pPr>
      <w:r>
        <w:rPr>
          <w:rFonts w:cs="Arial"/>
          <w:sz w:val="20"/>
          <w:szCs w:val="20"/>
        </w:rPr>
        <w:t>Figure 5 below shows the price of sunflower oil and the average price of mineral oil.  As indicate by the graph vegetable oil prices follows mineral oil prices very closely.</w:t>
      </w:r>
    </w:p>
    <w:p w:rsidR="005A63B9" w:rsidRDefault="005A63B9" w:rsidP="00B6220C">
      <w:pPr>
        <w:jc w:val="both"/>
        <w:rPr>
          <w:rFonts w:cs="Arial"/>
          <w:sz w:val="20"/>
          <w:szCs w:val="20"/>
        </w:rPr>
      </w:pPr>
    </w:p>
    <w:p w:rsidR="005A63B9" w:rsidRDefault="005A63B9" w:rsidP="00B6220C">
      <w:pPr>
        <w:jc w:val="both"/>
        <w:rPr>
          <w:rFonts w:cs="Arial"/>
          <w:sz w:val="20"/>
          <w:szCs w:val="20"/>
        </w:rPr>
      </w:pPr>
      <w:r w:rsidRPr="005A63B9">
        <w:rPr>
          <w:rFonts w:cs="Arial"/>
          <w:noProof/>
          <w:sz w:val="20"/>
          <w:szCs w:val="20"/>
          <w:lang w:val="en-US"/>
        </w:rPr>
        <w:drawing>
          <wp:inline distT="0" distB="0" distL="0" distR="0">
            <wp:extent cx="565785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63B9" w:rsidRDefault="00C04E0D" w:rsidP="00B6220C">
      <w:pPr>
        <w:jc w:val="both"/>
        <w:rPr>
          <w:rFonts w:cs="Arial"/>
          <w:sz w:val="20"/>
          <w:szCs w:val="20"/>
        </w:rPr>
      </w:pPr>
      <w:r>
        <w:rPr>
          <w:rFonts w:cs="Arial"/>
          <w:sz w:val="20"/>
          <w:szCs w:val="20"/>
        </w:rPr>
        <w:t>Figure 5:  Sunflower oil price and the average oil price</w:t>
      </w:r>
    </w:p>
    <w:p w:rsidR="00C04E0D" w:rsidRDefault="00C04E0D" w:rsidP="00B6220C">
      <w:pPr>
        <w:jc w:val="both"/>
        <w:rPr>
          <w:rFonts w:cs="Arial"/>
          <w:sz w:val="20"/>
          <w:szCs w:val="20"/>
        </w:rPr>
      </w:pPr>
      <w:r>
        <w:rPr>
          <w:rFonts w:cs="Arial"/>
          <w:sz w:val="20"/>
          <w:szCs w:val="20"/>
        </w:rPr>
        <w:t>Source:  IMF, 2011</w:t>
      </w:r>
    </w:p>
    <w:p w:rsidR="005A63B9" w:rsidRDefault="005A63B9" w:rsidP="00B6220C">
      <w:pPr>
        <w:jc w:val="both"/>
        <w:rPr>
          <w:rFonts w:cs="Arial"/>
          <w:sz w:val="20"/>
          <w:szCs w:val="20"/>
        </w:rPr>
      </w:pPr>
    </w:p>
    <w:p w:rsidR="005A63B9" w:rsidRDefault="006812FA" w:rsidP="00B6220C">
      <w:pPr>
        <w:jc w:val="both"/>
        <w:rPr>
          <w:rFonts w:cs="Arial"/>
          <w:sz w:val="20"/>
          <w:szCs w:val="20"/>
        </w:rPr>
      </w:pPr>
      <w:r>
        <w:rPr>
          <w:rFonts w:cs="Arial"/>
          <w:sz w:val="20"/>
          <w:szCs w:val="20"/>
        </w:rPr>
        <w:t>The price of sunflower cooking oil in a UK supermarket are the following:</w:t>
      </w:r>
    </w:p>
    <w:p w:rsidR="006812FA" w:rsidRPr="006812FA" w:rsidRDefault="006812FA" w:rsidP="006812FA">
      <w:pPr>
        <w:ind w:firstLine="720"/>
        <w:jc w:val="both"/>
        <w:rPr>
          <w:rFonts w:cs="Arial"/>
          <w:sz w:val="20"/>
          <w:szCs w:val="20"/>
          <w:lang w:val="en-US"/>
        </w:rPr>
      </w:pPr>
      <w:r w:rsidRPr="006812FA">
        <w:rPr>
          <w:rFonts w:cs="Arial"/>
          <w:sz w:val="20"/>
          <w:szCs w:val="20"/>
        </w:rPr>
        <w:t xml:space="preserve">Flora Pure Sunflower Oil (1l) </w:t>
      </w:r>
      <w:r w:rsidRPr="006812FA">
        <w:rPr>
          <w:rFonts w:cs="Arial"/>
          <w:sz w:val="20"/>
          <w:szCs w:val="20"/>
        </w:rPr>
        <w:tab/>
        <w:t>£1.89</w:t>
      </w:r>
    </w:p>
    <w:p w:rsidR="006812FA" w:rsidRPr="006812FA" w:rsidRDefault="006812FA" w:rsidP="006812FA">
      <w:pPr>
        <w:jc w:val="both"/>
        <w:rPr>
          <w:rFonts w:cs="Arial"/>
          <w:sz w:val="20"/>
          <w:szCs w:val="20"/>
          <w:lang w:val="en-US"/>
        </w:rPr>
      </w:pPr>
      <w:r w:rsidRPr="006812FA">
        <w:rPr>
          <w:rFonts w:cs="Arial"/>
          <w:sz w:val="20"/>
          <w:szCs w:val="20"/>
        </w:rPr>
        <w:tab/>
        <w:t xml:space="preserve">Flora Pure Sunflower Oil (2l) </w:t>
      </w:r>
      <w:r w:rsidRPr="006812FA">
        <w:rPr>
          <w:rFonts w:cs="Arial"/>
          <w:sz w:val="20"/>
          <w:szCs w:val="20"/>
        </w:rPr>
        <w:tab/>
        <w:t>£2.99</w:t>
      </w:r>
    </w:p>
    <w:p w:rsidR="006812FA" w:rsidRPr="006812FA" w:rsidRDefault="006812FA" w:rsidP="006812FA">
      <w:pPr>
        <w:jc w:val="both"/>
        <w:rPr>
          <w:rFonts w:cs="Arial"/>
          <w:sz w:val="20"/>
          <w:szCs w:val="20"/>
          <w:lang w:val="en-US"/>
        </w:rPr>
      </w:pPr>
      <w:r w:rsidRPr="006812FA">
        <w:rPr>
          <w:rFonts w:cs="Arial"/>
          <w:sz w:val="20"/>
          <w:szCs w:val="20"/>
        </w:rPr>
        <w:tab/>
        <w:t>Tesco Brand (1l)</w:t>
      </w:r>
      <w:r w:rsidRPr="006812FA">
        <w:rPr>
          <w:rFonts w:cs="Arial"/>
          <w:sz w:val="20"/>
          <w:szCs w:val="20"/>
        </w:rPr>
        <w:tab/>
      </w:r>
      <w:r w:rsidRPr="006812FA">
        <w:rPr>
          <w:rFonts w:cs="Arial"/>
          <w:sz w:val="20"/>
          <w:szCs w:val="20"/>
        </w:rPr>
        <w:tab/>
        <w:t>£1.59</w:t>
      </w:r>
    </w:p>
    <w:p w:rsidR="006812FA" w:rsidRDefault="006812FA" w:rsidP="006812FA">
      <w:pPr>
        <w:jc w:val="both"/>
        <w:rPr>
          <w:rFonts w:cs="Arial"/>
          <w:sz w:val="20"/>
          <w:szCs w:val="20"/>
        </w:rPr>
      </w:pPr>
      <w:r w:rsidRPr="006812FA">
        <w:rPr>
          <w:rFonts w:cs="Arial"/>
          <w:sz w:val="20"/>
          <w:szCs w:val="20"/>
        </w:rPr>
        <w:tab/>
        <w:t>Tesco Brand (3l)</w:t>
      </w:r>
      <w:r w:rsidRPr="006812FA">
        <w:rPr>
          <w:rFonts w:cs="Arial"/>
          <w:sz w:val="20"/>
          <w:szCs w:val="20"/>
        </w:rPr>
        <w:tab/>
      </w:r>
      <w:r w:rsidRPr="006812FA">
        <w:rPr>
          <w:rFonts w:cs="Arial"/>
          <w:sz w:val="20"/>
          <w:szCs w:val="20"/>
        </w:rPr>
        <w:tab/>
        <w:t>£3.42</w:t>
      </w:r>
    </w:p>
    <w:p w:rsidR="005A63B9" w:rsidRDefault="005A63B9" w:rsidP="00B6220C">
      <w:pPr>
        <w:jc w:val="both"/>
        <w:rPr>
          <w:rFonts w:cs="Arial"/>
          <w:sz w:val="20"/>
          <w:szCs w:val="20"/>
        </w:rPr>
      </w:pPr>
    </w:p>
    <w:p w:rsidR="005A63B9" w:rsidRDefault="006812FA" w:rsidP="00677EA2">
      <w:pPr>
        <w:jc w:val="both"/>
        <w:rPr>
          <w:rFonts w:cs="Arial"/>
          <w:sz w:val="20"/>
          <w:szCs w:val="20"/>
        </w:rPr>
      </w:pPr>
      <w:r>
        <w:rPr>
          <w:rFonts w:cs="Arial"/>
          <w:sz w:val="20"/>
          <w:szCs w:val="20"/>
        </w:rPr>
        <w:lastRenderedPageBreak/>
        <w:t xml:space="preserve">South African exporters are able to provide 2 liter bottles of sunflower cooking oil at a FOB price of </w:t>
      </w:r>
      <w:r w:rsidR="00D01DBB">
        <w:rPr>
          <w:rFonts w:cs="Arial"/>
          <w:sz w:val="20"/>
          <w:szCs w:val="20"/>
        </w:rPr>
        <w:t>US$ 2.08 per 2 litre bottle (Alibaba, 2011).</w:t>
      </w:r>
    </w:p>
    <w:p w:rsidR="00D01DBB" w:rsidRDefault="00D01DBB" w:rsidP="00677EA2">
      <w:pPr>
        <w:jc w:val="both"/>
        <w:rPr>
          <w:rFonts w:cs="Arial"/>
          <w:sz w:val="20"/>
          <w:szCs w:val="20"/>
        </w:rPr>
      </w:pPr>
    </w:p>
    <w:p w:rsidR="00D01DBB" w:rsidRDefault="002E248D" w:rsidP="00677EA2">
      <w:pPr>
        <w:jc w:val="both"/>
        <w:rPr>
          <w:rFonts w:cs="Arial"/>
          <w:sz w:val="20"/>
          <w:szCs w:val="20"/>
        </w:rPr>
      </w:pPr>
      <w:r>
        <w:rPr>
          <w:rFonts w:cs="Arial"/>
          <w:sz w:val="20"/>
          <w:szCs w:val="20"/>
        </w:rPr>
        <w:t xml:space="preserve">If an exchange rate of </w:t>
      </w:r>
      <w:r w:rsidR="00BA1684">
        <w:rPr>
          <w:rFonts w:cs="Arial"/>
          <w:sz w:val="20"/>
          <w:szCs w:val="20"/>
        </w:rPr>
        <w:t>£1 = US$ 1.64781 (4 May 2011), then the FOB price of one 2 liter bottle of oil will be £1.27.</w:t>
      </w:r>
    </w:p>
    <w:p w:rsidR="00BA1684" w:rsidRDefault="00BA1684" w:rsidP="00677EA2">
      <w:pPr>
        <w:jc w:val="both"/>
        <w:rPr>
          <w:rFonts w:cs="Arial"/>
          <w:sz w:val="20"/>
          <w:szCs w:val="20"/>
        </w:rPr>
      </w:pPr>
    </w:p>
    <w:p w:rsidR="00BA1684" w:rsidRDefault="00BA1684" w:rsidP="00677EA2">
      <w:pPr>
        <w:jc w:val="both"/>
        <w:rPr>
          <w:rFonts w:cs="Arial"/>
          <w:sz w:val="20"/>
          <w:szCs w:val="20"/>
        </w:rPr>
      </w:pPr>
      <w:r>
        <w:rPr>
          <w:rFonts w:cs="Arial"/>
          <w:sz w:val="20"/>
          <w:szCs w:val="20"/>
        </w:rPr>
        <w:t>Deducting the FOB price from the retailer price (</w:t>
      </w:r>
      <w:r w:rsidRPr="006812FA">
        <w:rPr>
          <w:rFonts w:cs="Arial"/>
          <w:sz w:val="20"/>
          <w:szCs w:val="20"/>
        </w:rPr>
        <w:t>£2.99</w:t>
      </w:r>
      <w:r>
        <w:rPr>
          <w:rFonts w:cs="Arial"/>
          <w:sz w:val="20"/>
          <w:szCs w:val="20"/>
        </w:rPr>
        <w:t xml:space="preserve"> - £1.27), leaves a margin of £1.72 per 2 litre bottle to cover shipment cost, customs clearance, agents commission (if any), transport cost and retailer margins.</w:t>
      </w:r>
    </w:p>
    <w:p w:rsidR="00BA1684" w:rsidRDefault="00BA1684" w:rsidP="00677EA2">
      <w:pPr>
        <w:jc w:val="both"/>
        <w:rPr>
          <w:rFonts w:cs="Arial"/>
          <w:sz w:val="20"/>
          <w:szCs w:val="20"/>
        </w:rPr>
      </w:pPr>
    </w:p>
    <w:p w:rsidR="00BA1684" w:rsidRPr="00BA1684" w:rsidRDefault="00BA1684" w:rsidP="00677EA2">
      <w:pPr>
        <w:jc w:val="both"/>
        <w:rPr>
          <w:rFonts w:cs="Arial"/>
          <w:sz w:val="20"/>
          <w:szCs w:val="20"/>
        </w:rPr>
      </w:pPr>
      <w:r w:rsidRPr="00BA1684">
        <w:rPr>
          <w:rFonts w:cs="Arial"/>
          <w:sz w:val="20"/>
          <w:szCs w:val="20"/>
        </w:rPr>
        <w:t xml:space="preserve">The </w:t>
      </w:r>
      <w:r w:rsidR="00677EA2">
        <w:rPr>
          <w:rFonts w:cs="Arial"/>
          <w:sz w:val="20"/>
          <w:szCs w:val="20"/>
        </w:rPr>
        <w:t xml:space="preserve">bottles can be shipped as follows, </w:t>
      </w:r>
      <w:r w:rsidRPr="00BA1684">
        <w:rPr>
          <w:rFonts w:cs="Arial"/>
          <w:sz w:val="20"/>
          <w:szCs w:val="20"/>
        </w:rPr>
        <w:t>6 x 2l plastic bottles filled with refined sunflower oil in a carton, 1250 cartons p</w:t>
      </w:r>
      <w:r w:rsidR="00677EA2">
        <w:rPr>
          <w:rFonts w:cs="Arial"/>
          <w:sz w:val="20"/>
          <w:szCs w:val="20"/>
        </w:rPr>
        <w:t xml:space="preserve">er 1x20'FCL.  </w:t>
      </w:r>
      <w:r w:rsidRPr="00BA1684">
        <w:rPr>
          <w:rFonts w:cs="Arial"/>
          <w:sz w:val="20"/>
          <w:szCs w:val="20"/>
        </w:rPr>
        <w:t>The weight will be 11.04kg per carton, in total 13.8 ton for all 1250 cartons.</w:t>
      </w:r>
      <w:r w:rsidR="00677EA2">
        <w:rPr>
          <w:rFonts w:cs="Arial"/>
          <w:sz w:val="20"/>
          <w:szCs w:val="20"/>
        </w:rPr>
        <w:t xml:space="preserve">  The value of the total shipment will be £9525.</w:t>
      </w:r>
    </w:p>
    <w:p w:rsidR="00BA1684" w:rsidRPr="006812FA" w:rsidRDefault="00BA1684" w:rsidP="00BA1684">
      <w:pPr>
        <w:jc w:val="both"/>
        <w:rPr>
          <w:rFonts w:cs="Arial"/>
          <w:sz w:val="20"/>
          <w:szCs w:val="20"/>
          <w:lang w:val="en-US"/>
        </w:rPr>
      </w:pPr>
    </w:p>
    <w:p w:rsidR="00BA1684" w:rsidRDefault="00BA1684" w:rsidP="00B6220C">
      <w:pPr>
        <w:jc w:val="both"/>
        <w:rPr>
          <w:rFonts w:cs="Arial"/>
          <w:sz w:val="20"/>
          <w:szCs w:val="20"/>
        </w:rPr>
      </w:pPr>
    </w:p>
    <w:p w:rsidR="005A63B9" w:rsidRDefault="005A63B9" w:rsidP="00B6220C">
      <w:pPr>
        <w:jc w:val="both"/>
        <w:rPr>
          <w:rFonts w:cs="Arial"/>
          <w:sz w:val="20"/>
          <w:szCs w:val="20"/>
        </w:rPr>
      </w:pPr>
    </w:p>
    <w:p w:rsidR="005A63B9" w:rsidRDefault="005A63B9" w:rsidP="00B6220C">
      <w:pPr>
        <w:jc w:val="both"/>
        <w:rPr>
          <w:rFonts w:cs="Arial"/>
          <w:sz w:val="20"/>
          <w:szCs w:val="20"/>
        </w:rPr>
      </w:pPr>
    </w:p>
    <w:p w:rsidR="005A63B9" w:rsidRDefault="005A63B9" w:rsidP="00B6220C">
      <w:pPr>
        <w:jc w:val="both"/>
        <w:rPr>
          <w:rFonts w:cs="Arial"/>
          <w:sz w:val="20"/>
          <w:szCs w:val="20"/>
        </w:rPr>
      </w:pPr>
    </w:p>
    <w:p w:rsidR="009F36C5" w:rsidRPr="000D562F" w:rsidRDefault="009F36C5">
      <w:pPr>
        <w:jc w:val="both"/>
        <w:rPr>
          <w:rFonts w:cs="Arial"/>
          <w:sz w:val="20"/>
          <w:szCs w:val="20"/>
        </w:rPr>
      </w:pPr>
    </w:p>
    <w:p w:rsidR="006C3289" w:rsidRPr="000D562F" w:rsidRDefault="00235D21" w:rsidP="00387443">
      <w:pPr>
        <w:ind w:firstLine="360"/>
        <w:jc w:val="both"/>
        <w:rPr>
          <w:b/>
          <w:bCs/>
          <w:sz w:val="20"/>
          <w:szCs w:val="20"/>
        </w:rPr>
      </w:pPr>
      <w:r w:rsidRPr="000D562F">
        <w:rPr>
          <w:b/>
          <w:bCs/>
          <w:sz w:val="20"/>
          <w:szCs w:val="20"/>
        </w:rPr>
        <w:br w:type="page"/>
      </w:r>
    </w:p>
    <w:p w:rsidR="006C3289" w:rsidRPr="000D562F" w:rsidRDefault="00C65C51">
      <w:pPr>
        <w:pStyle w:val="Heading1"/>
        <w:pBdr>
          <w:top w:val="single" w:sz="4" w:space="1" w:color="auto"/>
          <w:bottom w:val="single" w:sz="4" w:space="1" w:color="auto"/>
        </w:pBdr>
        <w:jc w:val="center"/>
        <w:rPr>
          <w:sz w:val="20"/>
          <w:szCs w:val="20"/>
        </w:rPr>
      </w:pPr>
      <w:bookmarkStart w:id="24" w:name="_Toc290627307"/>
      <w:r w:rsidRPr="000D562F">
        <w:rPr>
          <w:sz w:val="20"/>
          <w:szCs w:val="20"/>
        </w:rPr>
        <w:lastRenderedPageBreak/>
        <w:t>H.</w:t>
      </w:r>
      <w:r w:rsidR="00235D21" w:rsidRPr="000D562F">
        <w:rPr>
          <w:sz w:val="20"/>
          <w:szCs w:val="20"/>
        </w:rPr>
        <w:t xml:space="preserve"> </w:t>
      </w:r>
      <w:r w:rsidR="009F36C5" w:rsidRPr="000D562F">
        <w:rPr>
          <w:sz w:val="20"/>
          <w:szCs w:val="20"/>
        </w:rPr>
        <w:t xml:space="preserve">Placement: </w:t>
      </w:r>
      <w:r w:rsidR="00235D21" w:rsidRPr="000D562F">
        <w:rPr>
          <w:sz w:val="20"/>
          <w:szCs w:val="20"/>
        </w:rPr>
        <w:t>Distribution Channels</w:t>
      </w:r>
      <w:bookmarkEnd w:id="24"/>
    </w:p>
    <w:p w:rsidR="006C3289" w:rsidRPr="000D562F" w:rsidRDefault="006C3289">
      <w:pPr>
        <w:ind w:left="360"/>
        <w:jc w:val="center"/>
        <w:rPr>
          <w:rFonts w:cs="Arial"/>
          <w:sz w:val="20"/>
          <w:szCs w:val="20"/>
        </w:rPr>
      </w:pPr>
    </w:p>
    <w:p w:rsidR="00C21F10" w:rsidRPr="00C21F10" w:rsidRDefault="00C21F10" w:rsidP="00896622">
      <w:pPr>
        <w:pStyle w:val="Heading4"/>
        <w:rPr>
          <w:sz w:val="20"/>
          <w:szCs w:val="20"/>
        </w:rPr>
      </w:pPr>
      <w:r w:rsidRPr="00C21F10">
        <w:rPr>
          <w:sz w:val="20"/>
          <w:szCs w:val="20"/>
        </w:rPr>
        <w:t>Potential areas of distribution:</w:t>
      </w:r>
    </w:p>
    <w:p w:rsidR="009F36C5" w:rsidRDefault="00896622" w:rsidP="00896622">
      <w:pPr>
        <w:pStyle w:val="Heading4"/>
        <w:rPr>
          <w:b w:val="0"/>
          <w:sz w:val="20"/>
          <w:szCs w:val="20"/>
        </w:rPr>
      </w:pPr>
      <w:r w:rsidRPr="00D0542D">
        <w:rPr>
          <w:b w:val="0"/>
          <w:sz w:val="20"/>
          <w:szCs w:val="20"/>
        </w:rPr>
        <w:t>The largest cities in the UK are London, Birmingham and</w:t>
      </w:r>
      <w:r w:rsidR="00D0542D" w:rsidRPr="00D0542D">
        <w:rPr>
          <w:b w:val="0"/>
          <w:sz w:val="20"/>
          <w:szCs w:val="20"/>
        </w:rPr>
        <w:t xml:space="preserve"> Glasgow. Jointly these cities hold close to 8.7 million residents. London is the UK’s largest city, and therefore represents the largest potential market. </w:t>
      </w:r>
      <w:r w:rsidR="00D0542D">
        <w:rPr>
          <w:b w:val="0"/>
          <w:sz w:val="20"/>
          <w:szCs w:val="20"/>
        </w:rPr>
        <w:t>The port</w:t>
      </w:r>
      <w:r w:rsidR="00D83285">
        <w:rPr>
          <w:b w:val="0"/>
          <w:sz w:val="20"/>
          <w:szCs w:val="20"/>
        </w:rPr>
        <w:t>s</w:t>
      </w:r>
      <w:r w:rsidR="00D0542D">
        <w:rPr>
          <w:b w:val="0"/>
          <w:sz w:val="20"/>
          <w:szCs w:val="20"/>
        </w:rPr>
        <w:t xml:space="preserve"> of London</w:t>
      </w:r>
      <w:r w:rsidR="00825EE4">
        <w:rPr>
          <w:b w:val="0"/>
          <w:sz w:val="20"/>
          <w:szCs w:val="20"/>
        </w:rPr>
        <w:t>, Bristol</w:t>
      </w:r>
      <w:r w:rsidR="00D0542D">
        <w:rPr>
          <w:b w:val="0"/>
          <w:sz w:val="20"/>
          <w:szCs w:val="20"/>
        </w:rPr>
        <w:t xml:space="preserve"> </w:t>
      </w:r>
      <w:r w:rsidR="00D83285">
        <w:rPr>
          <w:b w:val="0"/>
          <w:sz w:val="20"/>
          <w:szCs w:val="20"/>
        </w:rPr>
        <w:t>and Greenock are</w:t>
      </w:r>
      <w:r w:rsidR="00D0542D">
        <w:rPr>
          <w:b w:val="0"/>
          <w:sz w:val="20"/>
          <w:szCs w:val="20"/>
        </w:rPr>
        <w:t xml:space="preserve"> situated close to </w:t>
      </w:r>
      <w:r w:rsidR="00825EE4">
        <w:rPr>
          <w:b w:val="0"/>
          <w:sz w:val="20"/>
          <w:szCs w:val="20"/>
        </w:rPr>
        <w:t>the potential markets.</w:t>
      </w:r>
    </w:p>
    <w:p w:rsidR="003E3C7A" w:rsidRPr="00D0542D" w:rsidRDefault="003E3C7A" w:rsidP="00896622">
      <w:pPr>
        <w:pStyle w:val="Heading4"/>
        <w:rPr>
          <w:b w:val="0"/>
          <w:sz w:val="20"/>
          <w:szCs w:val="20"/>
        </w:rPr>
      </w:pPr>
    </w:p>
    <w:tbl>
      <w:tblPr>
        <w:tblStyle w:val="TableGrid"/>
        <w:tblW w:w="0" w:type="auto"/>
        <w:tblInd w:w="720" w:type="dxa"/>
        <w:tblLook w:val="04A0"/>
      </w:tblPr>
      <w:tblGrid>
        <w:gridCol w:w="2811"/>
        <w:gridCol w:w="2869"/>
        <w:gridCol w:w="2838"/>
      </w:tblGrid>
      <w:tr w:rsidR="00FF3B83" w:rsidTr="00DA4E26">
        <w:tc>
          <w:tcPr>
            <w:tcW w:w="2811" w:type="dxa"/>
          </w:tcPr>
          <w:p w:rsidR="00FF3B83" w:rsidRPr="006C07B3" w:rsidRDefault="00FF3B83" w:rsidP="006C07B3">
            <w:pPr>
              <w:pStyle w:val="Heading4"/>
              <w:jc w:val="center"/>
              <w:rPr>
                <w:sz w:val="18"/>
                <w:szCs w:val="18"/>
              </w:rPr>
            </w:pPr>
            <w:r w:rsidRPr="006C07B3">
              <w:rPr>
                <w:sz w:val="18"/>
                <w:szCs w:val="18"/>
              </w:rPr>
              <w:t>City</w:t>
            </w:r>
          </w:p>
        </w:tc>
        <w:tc>
          <w:tcPr>
            <w:tcW w:w="2869" w:type="dxa"/>
          </w:tcPr>
          <w:p w:rsidR="00FF3B83" w:rsidRPr="006C07B3" w:rsidRDefault="00FF3B83" w:rsidP="006C07B3">
            <w:pPr>
              <w:pStyle w:val="Heading4"/>
              <w:jc w:val="center"/>
              <w:rPr>
                <w:sz w:val="18"/>
                <w:szCs w:val="18"/>
              </w:rPr>
            </w:pPr>
            <w:r w:rsidRPr="006C07B3">
              <w:rPr>
                <w:sz w:val="18"/>
                <w:szCs w:val="18"/>
              </w:rPr>
              <w:t>Residents</w:t>
            </w:r>
            <w:r w:rsidR="00D125D7" w:rsidRPr="006C07B3">
              <w:rPr>
                <w:sz w:val="18"/>
                <w:szCs w:val="18"/>
              </w:rPr>
              <w:t>, 2001</w:t>
            </w:r>
          </w:p>
        </w:tc>
        <w:tc>
          <w:tcPr>
            <w:tcW w:w="2838" w:type="dxa"/>
          </w:tcPr>
          <w:p w:rsidR="00FF3B83" w:rsidRPr="006C07B3" w:rsidRDefault="00D125D7" w:rsidP="006C07B3">
            <w:pPr>
              <w:pStyle w:val="Heading4"/>
              <w:jc w:val="center"/>
              <w:rPr>
                <w:sz w:val="18"/>
                <w:szCs w:val="18"/>
              </w:rPr>
            </w:pPr>
            <w:r w:rsidRPr="006C07B3">
              <w:rPr>
                <w:sz w:val="18"/>
                <w:szCs w:val="18"/>
              </w:rPr>
              <w:t>Nearest Port</w:t>
            </w:r>
          </w:p>
        </w:tc>
      </w:tr>
      <w:tr w:rsidR="00FF3B83" w:rsidTr="00DA4E26">
        <w:tc>
          <w:tcPr>
            <w:tcW w:w="2811" w:type="dxa"/>
          </w:tcPr>
          <w:p w:rsidR="00FF3B83" w:rsidRPr="006C07B3" w:rsidRDefault="00D125D7" w:rsidP="00FF3B83">
            <w:pPr>
              <w:pStyle w:val="Heading4"/>
              <w:rPr>
                <w:b w:val="0"/>
                <w:sz w:val="18"/>
                <w:szCs w:val="18"/>
              </w:rPr>
            </w:pPr>
            <w:r w:rsidRPr="006C07B3">
              <w:rPr>
                <w:b w:val="0"/>
                <w:sz w:val="18"/>
                <w:szCs w:val="18"/>
              </w:rPr>
              <w:t>London, England</w:t>
            </w:r>
          </w:p>
        </w:tc>
        <w:tc>
          <w:tcPr>
            <w:tcW w:w="2869" w:type="dxa"/>
          </w:tcPr>
          <w:p w:rsidR="00FF3B83" w:rsidRPr="006C07B3" w:rsidRDefault="00D125D7" w:rsidP="006C07B3">
            <w:pPr>
              <w:pStyle w:val="Heading4"/>
              <w:jc w:val="center"/>
              <w:rPr>
                <w:b w:val="0"/>
                <w:sz w:val="18"/>
                <w:szCs w:val="18"/>
              </w:rPr>
            </w:pPr>
            <w:r w:rsidRPr="006C07B3">
              <w:rPr>
                <w:b w:val="0"/>
                <w:sz w:val="18"/>
                <w:szCs w:val="18"/>
              </w:rPr>
              <w:t>7.1 million</w:t>
            </w:r>
          </w:p>
        </w:tc>
        <w:tc>
          <w:tcPr>
            <w:tcW w:w="2838" w:type="dxa"/>
          </w:tcPr>
          <w:p w:rsidR="00FF3B83" w:rsidRPr="006C07B3" w:rsidRDefault="00D125D7" w:rsidP="006C07B3">
            <w:pPr>
              <w:pStyle w:val="Heading4"/>
              <w:jc w:val="center"/>
              <w:rPr>
                <w:b w:val="0"/>
                <w:sz w:val="18"/>
                <w:szCs w:val="18"/>
              </w:rPr>
            </w:pPr>
            <w:r w:rsidRPr="006C07B3">
              <w:rPr>
                <w:b w:val="0"/>
                <w:sz w:val="18"/>
                <w:szCs w:val="18"/>
              </w:rPr>
              <w:t>London</w:t>
            </w:r>
          </w:p>
        </w:tc>
      </w:tr>
      <w:tr w:rsidR="00D125D7" w:rsidTr="00DA4E26">
        <w:tc>
          <w:tcPr>
            <w:tcW w:w="2811" w:type="dxa"/>
          </w:tcPr>
          <w:p w:rsidR="00D125D7" w:rsidRPr="006C07B3" w:rsidRDefault="00D125D7" w:rsidP="00FF3B83">
            <w:pPr>
              <w:pStyle w:val="Heading4"/>
              <w:rPr>
                <w:b w:val="0"/>
                <w:sz w:val="18"/>
                <w:szCs w:val="18"/>
              </w:rPr>
            </w:pPr>
            <w:r w:rsidRPr="006C07B3">
              <w:rPr>
                <w:b w:val="0"/>
                <w:sz w:val="18"/>
                <w:szCs w:val="18"/>
              </w:rPr>
              <w:t>Birmingham, England</w:t>
            </w:r>
          </w:p>
        </w:tc>
        <w:tc>
          <w:tcPr>
            <w:tcW w:w="2869" w:type="dxa"/>
          </w:tcPr>
          <w:p w:rsidR="00D125D7" w:rsidRPr="006C07B3" w:rsidRDefault="00D125D7" w:rsidP="006C07B3">
            <w:pPr>
              <w:pStyle w:val="Heading4"/>
              <w:jc w:val="center"/>
              <w:rPr>
                <w:b w:val="0"/>
                <w:sz w:val="18"/>
                <w:szCs w:val="18"/>
              </w:rPr>
            </w:pPr>
            <w:r w:rsidRPr="006C07B3">
              <w:rPr>
                <w:b w:val="0"/>
                <w:sz w:val="18"/>
                <w:szCs w:val="18"/>
              </w:rPr>
              <w:t>0.97 million</w:t>
            </w:r>
          </w:p>
        </w:tc>
        <w:tc>
          <w:tcPr>
            <w:tcW w:w="2838" w:type="dxa"/>
          </w:tcPr>
          <w:p w:rsidR="00D125D7" w:rsidRPr="006C07B3" w:rsidRDefault="00584648" w:rsidP="006C07B3">
            <w:pPr>
              <w:pStyle w:val="Heading4"/>
              <w:jc w:val="center"/>
              <w:rPr>
                <w:b w:val="0"/>
                <w:sz w:val="18"/>
                <w:szCs w:val="18"/>
              </w:rPr>
            </w:pPr>
            <w:r w:rsidRPr="006C07B3">
              <w:rPr>
                <w:b w:val="0"/>
                <w:sz w:val="18"/>
                <w:szCs w:val="18"/>
              </w:rPr>
              <w:t>Bristol</w:t>
            </w:r>
          </w:p>
        </w:tc>
      </w:tr>
      <w:tr w:rsidR="00D125D7" w:rsidTr="00DA4E26">
        <w:tc>
          <w:tcPr>
            <w:tcW w:w="2811" w:type="dxa"/>
          </w:tcPr>
          <w:p w:rsidR="00D125D7" w:rsidRPr="006C07B3" w:rsidRDefault="00D125D7" w:rsidP="00FF3B83">
            <w:pPr>
              <w:pStyle w:val="Heading4"/>
              <w:rPr>
                <w:b w:val="0"/>
                <w:sz w:val="18"/>
                <w:szCs w:val="18"/>
              </w:rPr>
            </w:pPr>
            <w:r w:rsidRPr="006C07B3">
              <w:rPr>
                <w:b w:val="0"/>
                <w:sz w:val="18"/>
                <w:szCs w:val="18"/>
              </w:rPr>
              <w:t>Glasgow, Scotland</w:t>
            </w:r>
          </w:p>
        </w:tc>
        <w:tc>
          <w:tcPr>
            <w:tcW w:w="2869" w:type="dxa"/>
          </w:tcPr>
          <w:p w:rsidR="00D125D7" w:rsidRPr="006C07B3" w:rsidRDefault="00D125D7" w:rsidP="006C07B3">
            <w:pPr>
              <w:pStyle w:val="Heading4"/>
              <w:jc w:val="center"/>
              <w:rPr>
                <w:b w:val="0"/>
                <w:sz w:val="18"/>
                <w:szCs w:val="18"/>
              </w:rPr>
            </w:pPr>
            <w:r w:rsidRPr="006C07B3">
              <w:rPr>
                <w:b w:val="0"/>
                <w:sz w:val="18"/>
                <w:szCs w:val="18"/>
              </w:rPr>
              <w:t>0.62 million</w:t>
            </w:r>
          </w:p>
        </w:tc>
        <w:tc>
          <w:tcPr>
            <w:tcW w:w="2838" w:type="dxa"/>
          </w:tcPr>
          <w:p w:rsidR="00D125D7" w:rsidRPr="006C07B3" w:rsidRDefault="00E81738" w:rsidP="006C07B3">
            <w:pPr>
              <w:pStyle w:val="Heading4"/>
              <w:jc w:val="center"/>
              <w:rPr>
                <w:b w:val="0"/>
                <w:sz w:val="18"/>
                <w:szCs w:val="18"/>
              </w:rPr>
            </w:pPr>
            <w:r w:rsidRPr="006C07B3">
              <w:rPr>
                <w:b w:val="0"/>
                <w:sz w:val="18"/>
                <w:szCs w:val="18"/>
              </w:rPr>
              <w:t>Greenock</w:t>
            </w:r>
          </w:p>
        </w:tc>
      </w:tr>
    </w:tbl>
    <w:p w:rsidR="003E3C7A" w:rsidRDefault="003E3C7A" w:rsidP="009E234A">
      <w:pPr>
        <w:pStyle w:val="Heading4"/>
        <w:jc w:val="both"/>
        <w:rPr>
          <w:b w:val="0"/>
          <w:sz w:val="20"/>
          <w:szCs w:val="20"/>
        </w:rPr>
      </w:pPr>
    </w:p>
    <w:p w:rsidR="00C21F10" w:rsidRPr="00C21F10" w:rsidRDefault="00C21F10" w:rsidP="009E234A">
      <w:pPr>
        <w:pStyle w:val="Heading4"/>
        <w:jc w:val="both"/>
        <w:rPr>
          <w:sz w:val="20"/>
          <w:szCs w:val="20"/>
        </w:rPr>
      </w:pPr>
      <w:r w:rsidRPr="00C21F10">
        <w:rPr>
          <w:sz w:val="20"/>
          <w:szCs w:val="20"/>
        </w:rPr>
        <w:t>Sunflower oil distribution channels:</w:t>
      </w:r>
    </w:p>
    <w:p w:rsidR="00825EE4" w:rsidRPr="00DE73E1" w:rsidRDefault="00825EE4" w:rsidP="009E234A">
      <w:pPr>
        <w:pStyle w:val="Heading4"/>
        <w:jc w:val="both"/>
        <w:rPr>
          <w:b w:val="0"/>
          <w:sz w:val="20"/>
          <w:szCs w:val="20"/>
        </w:rPr>
      </w:pPr>
      <w:r w:rsidRPr="009E234A">
        <w:rPr>
          <w:b w:val="0"/>
          <w:sz w:val="20"/>
          <w:szCs w:val="20"/>
        </w:rPr>
        <w:t xml:space="preserve">South African sunflower oil exporters can choose between of two potential distribution channels. The shortest route to the </w:t>
      </w:r>
      <w:r w:rsidR="009E234A" w:rsidRPr="009E234A">
        <w:rPr>
          <w:b w:val="0"/>
          <w:sz w:val="20"/>
          <w:szCs w:val="20"/>
        </w:rPr>
        <w:t>consumer will entail that the exporter deliver directly to the chosen retailer. Alternatively, the exporters can use the expertise of an import agent to deliver the sunflower oil to the retailer</w:t>
      </w:r>
      <w:r w:rsidR="00DE73E1">
        <w:rPr>
          <w:b w:val="0"/>
          <w:sz w:val="20"/>
          <w:szCs w:val="20"/>
        </w:rPr>
        <w:t>s</w:t>
      </w:r>
      <w:r w:rsidR="003E3C7A">
        <w:rPr>
          <w:b w:val="0"/>
          <w:sz w:val="20"/>
          <w:szCs w:val="20"/>
        </w:rPr>
        <w:t xml:space="preserve">. </w:t>
      </w:r>
      <w:r w:rsidR="00DE73E1" w:rsidRPr="00DE73E1">
        <w:rPr>
          <w:b w:val="0"/>
          <w:sz w:val="20"/>
          <w:szCs w:val="20"/>
        </w:rPr>
        <w:t>Tesco, ASDA, Sainbury’s and Morrisons are the largest retailers in the UK, jointly representin</w:t>
      </w:r>
      <w:r w:rsidR="00DE73E1">
        <w:rPr>
          <w:b w:val="0"/>
          <w:sz w:val="20"/>
          <w:szCs w:val="20"/>
        </w:rPr>
        <w:t xml:space="preserve">g 75.8% of the UK retail market </w:t>
      </w:r>
      <w:r w:rsidR="00DE73E1" w:rsidRPr="00DE73E1">
        <w:rPr>
          <w:b w:val="0"/>
          <w:sz w:val="20"/>
          <w:szCs w:val="20"/>
        </w:rPr>
        <w:t>(TNS Global, 2009).</w:t>
      </w:r>
      <w:r w:rsidR="00DE73E1">
        <w:rPr>
          <w:b w:val="0"/>
          <w:sz w:val="20"/>
          <w:szCs w:val="20"/>
        </w:rPr>
        <w:t xml:space="preserve"> Sunflower oil can be transported using any means of transportation since it is a non-perishable product</w:t>
      </w:r>
    </w:p>
    <w:p w:rsidR="009E234A" w:rsidRPr="009E234A" w:rsidRDefault="009E234A" w:rsidP="009E234A">
      <w:pPr>
        <w:pStyle w:val="Heading4"/>
        <w:jc w:val="both"/>
        <w:rPr>
          <w:b w:val="0"/>
          <w:sz w:val="20"/>
          <w:szCs w:val="20"/>
        </w:rPr>
      </w:pPr>
      <w:r w:rsidRPr="009E234A">
        <w:rPr>
          <w:b w:val="0"/>
          <w:noProof/>
          <w:sz w:val="20"/>
          <w:szCs w:val="20"/>
          <w:lang w:val="en-US"/>
        </w:rPr>
        <w:drawing>
          <wp:inline distT="0" distB="0" distL="0" distR="0">
            <wp:extent cx="5727700" cy="2579370"/>
            <wp:effectExtent l="19050" t="0" r="635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727700" cy="2579370"/>
                    </a:xfrm>
                    <a:prstGeom prst="rect">
                      <a:avLst/>
                    </a:prstGeom>
                    <a:noFill/>
                    <a:ln w="9525">
                      <a:noFill/>
                      <a:miter lim="800000"/>
                      <a:headEnd/>
                      <a:tailEnd/>
                    </a:ln>
                  </pic:spPr>
                </pic:pic>
              </a:graphicData>
            </a:graphic>
          </wp:inline>
        </w:drawing>
      </w:r>
    </w:p>
    <w:p w:rsidR="0082335F" w:rsidRPr="002D2942" w:rsidRDefault="00DE73E1" w:rsidP="006C07B3">
      <w:pPr>
        <w:pStyle w:val="Heading4"/>
        <w:rPr>
          <w:b w:val="0"/>
          <w:sz w:val="20"/>
          <w:szCs w:val="20"/>
        </w:rPr>
      </w:pPr>
      <w:r w:rsidRPr="002D2942">
        <w:rPr>
          <w:b w:val="0"/>
          <w:sz w:val="20"/>
          <w:szCs w:val="20"/>
        </w:rPr>
        <w:t>Figure ?: Distribution channels available to South African sunflower oil exporters</w:t>
      </w:r>
    </w:p>
    <w:p w:rsidR="00B665DC" w:rsidRDefault="00B665DC" w:rsidP="00490F49">
      <w:pPr>
        <w:rPr>
          <w:sz w:val="20"/>
          <w:szCs w:val="20"/>
        </w:rPr>
      </w:pPr>
    </w:p>
    <w:p w:rsidR="00B665DC" w:rsidRDefault="00B665DC" w:rsidP="00490F49">
      <w:pPr>
        <w:rPr>
          <w:sz w:val="20"/>
          <w:szCs w:val="20"/>
        </w:rPr>
      </w:pPr>
    </w:p>
    <w:p w:rsidR="00B665DC" w:rsidRPr="000D562F" w:rsidRDefault="00B665DC" w:rsidP="00490F49">
      <w:pPr>
        <w:rPr>
          <w:sz w:val="20"/>
          <w:szCs w:val="20"/>
        </w:rPr>
      </w:pPr>
    </w:p>
    <w:p w:rsidR="00490F49" w:rsidRPr="000D562F" w:rsidRDefault="00490F49" w:rsidP="00490F49">
      <w:pPr>
        <w:tabs>
          <w:tab w:val="left" w:pos="2880"/>
        </w:tabs>
        <w:rPr>
          <w:sz w:val="20"/>
          <w:szCs w:val="20"/>
        </w:rPr>
      </w:pPr>
      <w:r w:rsidRPr="000D562F">
        <w:rPr>
          <w:sz w:val="20"/>
          <w:szCs w:val="20"/>
        </w:rPr>
        <w:tab/>
      </w:r>
    </w:p>
    <w:p w:rsidR="00490F49" w:rsidRPr="000D562F" w:rsidRDefault="00490F49" w:rsidP="00490F49">
      <w:pPr>
        <w:rPr>
          <w:sz w:val="20"/>
          <w:szCs w:val="20"/>
        </w:rPr>
      </w:pPr>
    </w:p>
    <w:p w:rsidR="007B6B21" w:rsidRPr="000D562F" w:rsidRDefault="007B6B21" w:rsidP="00490F49">
      <w:pPr>
        <w:rPr>
          <w:sz w:val="20"/>
          <w:szCs w:val="20"/>
        </w:rPr>
        <w:sectPr w:rsidR="007B6B21" w:rsidRPr="000D562F" w:rsidSect="00C65C51">
          <w:pgSz w:w="12240" w:h="15840"/>
          <w:pgMar w:top="1418" w:right="1418" w:bottom="1418" w:left="1418" w:header="720" w:footer="720" w:gutter="0"/>
          <w:cols w:space="720" w:equalWidth="0">
            <w:col w:w="9022" w:space="720"/>
          </w:cols>
          <w:docGrid w:linePitch="360"/>
        </w:sectPr>
      </w:pPr>
    </w:p>
    <w:p w:rsidR="009F36C5" w:rsidRPr="000D562F" w:rsidRDefault="007F36C7" w:rsidP="007F36C7">
      <w:pPr>
        <w:pStyle w:val="Heading1"/>
        <w:pBdr>
          <w:top w:val="single" w:sz="4" w:space="1" w:color="auto"/>
          <w:bottom w:val="single" w:sz="4" w:space="1" w:color="auto"/>
        </w:pBdr>
        <w:tabs>
          <w:tab w:val="left" w:pos="4111"/>
        </w:tabs>
        <w:jc w:val="center"/>
        <w:rPr>
          <w:sz w:val="20"/>
          <w:szCs w:val="20"/>
        </w:rPr>
      </w:pPr>
      <w:bookmarkStart w:id="25" w:name="_Toc290627308"/>
      <w:r w:rsidRPr="000D562F">
        <w:rPr>
          <w:sz w:val="20"/>
          <w:szCs w:val="20"/>
        </w:rPr>
        <w:lastRenderedPageBreak/>
        <w:t>I.</w:t>
      </w:r>
      <w:r w:rsidR="000D562F">
        <w:rPr>
          <w:sz w:val="20"/>
          <w:szCs w:val="20"/>
        </w:rPr>
        <w:t xml:space="preserve"> </w:t>
      </w:r>
      <w:r w:rsidR="009F36C5" w:rsidRPr="000D562F">
        <w:rPr>
          <w:sz w:val="20"/>
          <w:szCs w:val="20"/>
        </w:rPr>
        <w:t>P</w:t>
      </w:r>
      <w:r w:rsidR="001B585B" w:rsidRPr="000D562F">
        <w:rPr>
          <w:sz w:val="20"/>
          <w:szCs w:val="20"/>
        </w:rPr>
        <w:t>romotion</w:t>
      </w:r>
      <w:bookmarkEnd w:id="25"/>
    </w:p>
    <w:p w:rsidR="00127E50" w:rsidRDefault="00127E50" w:rsidP="004160B1">
      <w:pPr>
        <w:pStyle w:val="Heading4"/>
        <w:keepNext/>
        <w:autoSpaceDE w:val="0"/>
        <w:autoSpaceDN w:val="0"/>
        <w:adjustRightInd w:val="0"/>
        <w:spacing w:before="0" w:after="0" w:line="360" w:lineRule="auto"/>
        <w:jc w:val="both"/>
        <w:rPr>
          <w:b w:val="0"/>
          <w:sz w:val="20"/>
          <w:szCs w:val="20"/>
        </w:rPr>
      </w:pPr>
    </w:p>
    <w:p w:rsidR="004777AC" w:rsidRDefault="004160B1" w:rsidP="004777AC">
      <w:pPr>
        <w:pStyle w:val="Heading4"/>
        <w:keepNext/>
        <w:autoSpaceDE w:val="0"/>
        <w:autoSpaceDN w:val="0"/>
        <w:adjustRightInd w:val="0"/>
        <w:spacing w:before="0" w:after="0" w:line="360" w:lineRule="auto"/>
        <w:jc w:val="both"/>
        <w:rPr>
          <w:b w:val="0"/>
          <w:sz w:val="20"/>
          <w:szCs w:val="20"/>
        </w:rPr>
      </w:pPr>
      <w:r w:rsidRPr="00127E50">
        <w:rPr>
          <w:b w:val="0"/>
          <w:sz w:val="20"/>
          <w:szCs w:val="20"/>
        </w:rPr>
        <w:t>The following events take place in the UK for promoting Sunflower Oil:</w:t>
      </w:r>
    </w:p>
    <w:p w:rsidR="004777AC" w:rsidRDefault="004777AC" w:rsidP="00127E50">
      <w:pPr>
        <w:pStyle w:val="Heading4"/>
        <w:keepNext/>
        <w:numPr>
          <w:ilvl w:val="0"/>
          <w:numId w:val="23"/>
        </w:numPr>
        <w:autoSpaceDE w:val="0"/>
        <w:autoSpaceDN w:val="0"/>
        <w:adjustRightInd w:val="0"/>
        <w:spacing w:before="0" w:after="0" w:line="360" w:lineRule="auto"/>
        <w:jc w:val="both"/>
        <w:rPr>
          <w:b w:val="0"/>
          <w:sz w:val="20"/>
          <w:szCs w:val="20"/>
          <w:lang w:val="en-US"/>
        </w:rPr>
      </w:pPr>
      <w:r>
        <w:rPr>
          <w:b w:val="0"/>
          <w:sz w:val="20"/>
          <w:szCs w:val="20"/>
          <w:lang w:val="en-US"/>
        </w:rPr>
        <w:t>Food and Drink Expo 2012</w:t>
      </w:r>
    </w:p>
    <w:p w:rsidR="004777AC" w:rsidRDefault="004777AC" w:rsidP="004777AC">
      <w:pPr>
        <w:pStyle w:val="Heading4"/>
        <w:keepNext/>
        <w:autoSpaceDE w:val="0"/>
        <w:autoSpaceDN w:val="0"/>
        <w:adjustRightInd w:val="0"/>
        <w:spacing w:before="0" w:after="0" w:line="360" w:lineRule="auto"/>
        <w:ind w:left="360"/>
        <w:jc w:val="both"/>
        <w:rPr>
          <w:b w:val="0"/>
          <w:sz w:val="20"/>
          <w:szCs w:val="20"/>
          <w:lang w:val="en-US"/>
        </w:rPr>
      </w:pPr>
      <w:r>
        <w:rPr>
          <w:b w:val="0"/>
          <w:sz w:val="20"/>
          <w:szCs w:val="20"/>
          <w:lang w:val="en-US"/>
        </w:rPr>
        <w:t>25-28 March</w:t>
      </w:r>
    </w:p>
    <w:p w:rsidR="004777AC" w:rsidRDefault="004777AC" w:rsidP="004777AC">
      <w:pPr>
        <w:pStyle w:val="Heading4"/>
        <w:keepNext/>
        <w:autoSpaceDE w:val="0"/>
        <w:autoSpaceDN w:val="0"/>
        <w:adjustRightInd w:val="0"/>
        <w:spacing w:before="0" w:after="0" w:line="360" w:lineRule="auto"/>
        <w:ind w:left="360"/>
        <w:jc w:val="both"/>
        <w:rPr>
          <w:b w:val="0"/>
          <w:sz w:val="20"/>
          <w:szCs w:val="20"/>
          <w:lang w:val="en-US"/>
        </w:rPr>
      </w:pPr>
      <w:r>
        <w:rPr>
          <w:b w:val="0"/>
          <w:sz w:val="20"/>
          <w:szCs w:val="20"/>
          <w:lang w:val="en-US"/>
        </w:rPr>
        <w:t>Birmingham</w:t>
      </w:r>
    </w:p>
    <w:p w:rsidR="004777AC" w:rsidRPr="004777AC" w:rsidRDefault="004777AC" w:rsidP="004777AC">
      <w:pPr>
        <w:pStyle w:val="Heading4"/>
        <w:keepNext/>
        <w:autoSpaceDE w:val="0"/>
        <w:autoSpaceDN w:val="0"/>
        <w:adjustRightInd w:val="0"/>
        <w:spacing w:before="0" w:after="0" w:line="360" w:lineRule="auto"/>
        <w:ind w:left="360"/>
        <w:jc w:val="both"/>
        <w:rPr>
          <w:b w:val="0"/>
          <w:sz w:val="20"/>
          <w:szCs w:val="20"/>
          <w:lang w:val="en-US"/>
        </w:rPr>
      </w:pPr>
      <w:r>
        <w:rPr>
          <w:b w:val="0"/>
          <w:sz w:val="20"/>
          <w:szCs w:val="20"/>
          <w:lang w:val="en-US"/>
        </w:rPr>
        <w:t>UK</w:t>
      </w:r>
    </w:p>
    <w:p w:rsidR="00127E50" w:rsidRDefault="00127E50" w:rsidP="00127E50">
      <w:pPr>
        <w:pStyle w:val="Heading4"/>
        <w:keepNext/>
        <w:numPr>
          <w:ilvl w:val="0"/>
          <w:numId w:val="23"/>
        </w:numPr>
        <w:autoSpaceDE w:val="0"/>
        <w:autoSpaceDN w:val="0"/>
        <w:adjustRightInd w:val="0"/>
        <w:spacing w:before="0" w:after="0" w:line="360" w:lineRule="auto"/>
        <w:jc w:val="both"/>
        <w:rPr>
          <w:b w:val="0"/>
          <w:sz w:val="20"/>
          <w:szCs w:val="20"/>
          <w:lang w:val="en-US"/>
        </w:rPr>
      </w:pPr>
      <w:r>
        <w:rPr>
          <w:b w:val="0"/>
          <w:sz w:val="20"/>
          <w:szCs w:val="20"/>
          <w:lang w:val="en-US"/>
        </w:rPr>
        <w:t>The Retail London Show</w:t>
      </w:r>
      <w:r w:rsidR="004777AC">
        <w:rPr>
          <w:b w:val="0"/>
          <w:sz w:val="20"/>
          <w:szCs w:val="20"/>
          <w:lang w:val="en-US"/>
        </w:rPr>
        <w:t xml:space="preserve"> 2012</w:t>
      </w:r>
      <w:r>
        <w:rPr>
          <w:b w:val="0"/>
          <w:sz w:val="20"/>
          <w:szCs w:val="20"/>
          <w:lang w:val="en-US"/>
        </w:rPr>
        <w:t>,</w:t>
      </w:r>
    </w:p>
    <w:p w:rsidR="00127E50" w:rsidRDefault="004777AC" w:rsidP="00127E50">
      <w:pPr>
        <w:pStyle w:val="Heading4"/>
        <w:keepNext/>
        <w:autoSpaceDE w:val="0"/>
        <w:autoSpaceDN w:val="0"/>
        <w:adjustRightInd w:val="0"/>
        <w:spacing w:before="0" w:after="0" w:line="360" w:lineRule="auto"/>
        <w:ind w:left="360"/>
        <w:jc w:val="both"/>
        <w:rPr>
          <w:b w:val="0"/>
          <w:sz w:val="20"/>
          <w:szCs w:val="20"/>
          <w:lang w:val="en-US"/>
        </w:rPr>
      </w:pPr>
      <w:r>
        <w:rPr>
          <w:b w:val="0"/>
          <w:sz w:val="20"/>
          <w:szCs w:val="20"/>
          <w:lang w:val="en-US"/>
        </w:rPr>
        <w:t>Business Design Centre</w:t>
      </w:r>
    </w:p>
    <w:p w:rsidR="004777AC" w:rsidRPr="00127E50" w:rsidRDefault="004777AC" w:rsidP="004777AC">
      <w:pPr>
        <w:pStyle w:val="Heading4"/>
        <w:keepNext/>
        <w:autoSpaceDE w:val="0"/>
        <w:autoSpaceDN w:val="0"/>
        <w:adjustRightInd w:val="0"/>
        <w:spacing w:before="0" w:after="0" w:line="360" w:lineRule="auto"/>
        <w:ind w:left="360"/>
        <w:jc w:val="both"/>
        <w:rPr>
          <w:b w:val="0"/>
          <w:sz w:val="20"/>
          <w:szCs w:val="20"/>
          <w:lang w:val="en-US"/>
        </w:rPr>
      </w:pPr>
      <w:r>
        <w:rPr>
          <w:b w:val="0"/>
          <w:sz w:val="20"/>
          <w:szCs w:val="20"/>
          <w:lang w:val="en-US"/>
        </w:rPr>
        <w:t>London</w:t>
      </w:r>
    </w:p>
    <w:p w:rsidR="004160B1" w:rsidRPr="00127E50" w:rsidRDefault="00257806" w:rsidP="00127E50">
      <w:pPr>
        <w:pStyle w:val="Heading4"/>
        <w:keepNext/>
        <w:numPr>
          <w:ilvl w:val="0"/>
          <w:numId w:val="23"/>
        </w:numPr>
        <w:autoSpaceDE w:val="0"/>
        <w:autoSpaceDN w:val="0"/>
        <w:adjustRightInd w:val="0"/>
        <w:spacing w:before="0" w:after="0" w:line="360" w:lineRule="auto"/>
        <w:jc w:val="both"/>
        <w:rPr>
          <w:b w:val="0"/>
          <w:sz w:val="20"/>
          <w:szCs w:val="20"/>
          <w:lang w:val="en-US"/>
        </w:rPr>
      </w:pPr>
      <w:hyperlink r:id="rId23" w:history="1">
        <w:r w:rsidR="004160B1" w:rsidRPr="00127E50">
          <w:rPr>
            <w:rStyle w:val="Hyperlink"/>
            <w:b w:val="0"/>
            <w:color w:val="auto"/>
            <w:sz w:val="20"/>
            <w:szCs w:val="20"/>
            <w:lang w:val="en-ZA"/>
          </w:rPr>
          <w:t>HAWKSHEAD RELISH COMPANY</w:t>
        </w:r>
      </w:hyperlink>
      <w:r w:rsidR="004160B1" w:rsidRPr="00127E50">
        <w:rPr>
          <w:b w:val="0"/>
          <w:sz w:val="20"/>
          <w:szCs w:val="20"/>
          <w:lang w:val="en-ZA"/>
        </w:rPr>
        <w:t xml:space="preserve"> </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The Square</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CA22 0NZ Hawkshead, Cumbria, United Kingdom</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Tel: 015394 36614 Fax: 015394 36614</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 xml:space="preserve">Products promoted: </w:t>
      </w:r>
      <w:hyperlink r:id="rId24" w:history="1">
        <w:r w:rsidRPr="00127E50">
          <w:rPr>
            <w:rStyle w:val="Hyperlink"/>
            <w:b w:val="0"/>
            <w:color w:val="auto"/>
            <w:sz w:val="20"/>
            <w:szCs w:val="20"/>
            <w:lang w:val="en-ZA"/>
          </w:rPr>
          <w:t>Relishes,</w:t>
        </w:r>
      </w:hyperlink>
      <w:r w:rsidRPr="00127E50">
        <w:rPr>
          <w:b w:val="0"/>
          <w:sz w:val="20"/>
          <w:szCs w:val="20"/>
          <w:lang w:val="en-ZA"/>
        </w:rPr>
        <w:t xml:space="preserve"> </w:t>
      </w:r>
      <w:hyperlink r:id="rId25" w:history="1">
        <w:r w:rsidRPr="00127E50">
          <w:rPr>
            <w:rStyle w:val="Hyperlink"/>
            <w:b w:val="0"/>
            <w:color w:val="auto"/>
            <w:sz w:val="20"/>
            <w:szCs w:val="20"/>
            <w:lang w:val="en-ZA"/>
          </w:rPr>
          <w:t>Pickles,</w:t>
        </w:r>
      </w:hyperlink>
      <w:r w:rsidRPr="00127E50">
        <w:rPr>
          <w:b w:val="0"/>
          <w:sz w:val="20"/>
          <w:szCs w:val="20"/>
          <w:lang w:val="en-ZA"/>
        </w:rPr>
        <w:t xml:space="preserve"> </w:t>
      </w:r>
      <w:hyperlink r:id="rId26" w:history="1">
        <w:r w:rsidRPr="00127E50">
          <w:rPr>
            <w:rStyle w:val="Hyperlink"/>
            <w:b w:val="0"/>
            <w:color w:val="auto"/>
            <w:sz w:val="20"/>
            <w:szCs w:val="20"/>
            <w:lang w:val="en-ZA"/>
          </w:rPr>
          <w:t>Chutneys,</w:t>
        </w:r>
      </w:hyperlink>
      <w:r w:rsidRPr="00127E50">
        <w:rPr>
          <w:b w:val="0"/>
          <w:sz w:val="20"/>
          <w:szCs w:val="20"/>
          <w:lang w:val="en-ZA"/>
        </w:rPr>
        <w:t xml:space="preserve"> </w:t>
      </w:r>
      <w:hyperlink r:id="rId27" w:history="1">
        <w:r w:rsidRPr="00127E50">
          <w:rPr>
            <w:rStyle w:val="Hyperlink"/>
            <w:b w:val="0"/>
            <w:color w:val="auto"/>
            <w:sz w:val="20"/>
            <w:szCs w:val="20"/>
            <w:lang w:val="en-ZA"/>
          </w:rPr>
          <w:t>Mustard,</w:t>
        </w:r>
      </w:hyperlink>
      <w:r w:rsidRPr="00127E50">
        <w:rPr>
          <w:b w:val="0"/>
          <w:sz w:val="20"/>
          <w:szCs w:val="20"/>
          <w:lang w:val="en-ZA"/>
        </w:rPr>
        <w:t xml:space="preserve"> </w:t>
      </w:r>
      <w:hyperlink r:id="rId28" w:history="1">
        <w:r w:rsidRPr="00127E50">
          <w:rPr>
            <w:rStyle w:val="Hyperlink"/>
            <w:b w:val="0"/>
            <w:color w:val="auto"/>
            <w:sz w:val="20"/>
            <w:szCs w:val="20"/>
            <w:lang w:val="en-ZA"/>
          </w:rPr>
          <w:t>Oils,</w:t>
        </w:r>
      </w:hyperlink>
      <w:r w:rsidRPr="00127E50">
        <w:rPr>
          <w:b w:val="0"/>
          <w:sz w:val="20"/>
          <w:szCs w:val="20"/>
          <w:lang w:val="en-ZA"/>
        </w:rPr>
        <w:t xml:space="preserve"> </w:t>
      </w:r>
      <w:hyperlink r:id="rId29" w:history="1">
        <w:r w:rsidRPr="00127E50">
          <w:rPr>
            <w:rStyle w:val="Hyperlink"/>
            <w:b w:val="0"/>
            <w:color w:val="auto"/>
            <w:sz w:val="20"/>
            <w:szCs w:val="20"/>
            <w:lang w:val="en-ZA"/>
          </w:rPr>
          <w:t>Flavoured Salts,</w:t>
        </w:r>
      </w:hyperlink>
      <w:r w:rsidRPr="00127E50">
        <w:rPr>
          <w:b w:val="0"/>
          <w:sz w:val="20"/>
          <w:szCs w:val="20"/>
          <w:lang w:val="en-ZA"/>
        </w:rPr>
        <w:t xml:space="preserve"> </w:t>
      </w:r>
      <w:hyperlink r:id="rId30" w:history="1">
        <w:r w:rsidRPr="00127E50">
          <w:rPr>
            <w:rStyle w:val="Hyperlink"/>
            <w:b w:val="0"/>
            <w:color w:val="auto"/>
            <w:sz w:val="20"/>
            <w:szCs w:val="20"/>
            <w:lang w:val="en-ZA"/>
          </w:rPr>
          <w:t>Sauces</w:t>
        </w:r>
      </w:hyperlink>
      <w:r w:rsidRPr="00127E50">
        <w:rPr>
          <w:b w:val="0"/>
          <w:sz w:val="20"/>
          <w:szCs w:val="20"/>
          <w:lang w:val="en-ZA"/>
        </w:rPr>
        <w:t xml:space="preserve"> </w:t>
      </w:r>
    </w:p>
    <w:p w:rsidR="004160B1" w:rsidRPr="00127E50" w:rsidRDefault="00257806" w:rsidP="00127E50">
      <w:pPr>
        <w:pStyle w:val="Heading4"/>
        <w:keepNext/>
        <w:numPr>
          <w:ilvl w:val="0"/>
          <w:numId w:val="23"/>
        </w:numPr>
        <w:autoSpaceDE w:val="0"/>
        <w:autoSpaceDN w:val="0"/>
        <w:adjustRightInd w:val="0"/>
        <w:spacing w:before="0" w:after="0" w:line="360" w:lineRule="auto"/>
        <w:jc w:val="both"/>
        <w:rPr>
          <w:b w:val="0"/>
          <w:sz w:val="20"/>
          <w:szCs w:val="20"/>
          <w:lang w:val="en-US"/>
        </w:rPr>
      </w:pPr>
      <w:hyperlink r:id="rId31" w:history="1">
        <w:r w:rsidR="004160B1" w:rsidRPr="00127E50">
          <w:rPr>
            <w:rStyle w:val="Hyperlink"/>
            <w:b w:val="0"/>
            <w:color w:val="auto"/>
            <w:sz w:val="20"/>
            <w:szCs w:val="20"/>
            <w:lang w:val="en-ZA"/>
          </w:rPr>
          <w:t>HOO HING COMMERCIAL CENTRE</w:t>
        </w:r>
      </w:hyperlink>
      <w:r w:rsidR="004160B1" w:rsidRPr="00127E50">
        <w:rPr>
          <w:b w:val="0"/>
          <w:sz w:val="20"/>
          <w:szCs w:val="20"/>
          <w:lang w:val="en-ZA"/>
        </w:rPr>
        <w:t xml:space="preserve"> </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Freshwater Road</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Romford, Essex, United Kingdom</w:t>
      </w:r>
    </w:p>
    <w:p w:rsidR="004160B1" w:rsidRPr="004777AC" w:rsidRDefault="004160B1" w:rsidP="004777AC">
      <w:pPr>
        <w:pStyle w:val="Heading4"/>
        <w:keepNext/>
        <w:autoSpaceDE w:val="0"/>
        <w:autoSpaceDN w:val="0"/>
        <w:adjustRightInd w:val="0"/>
        <w:spacing w:before="0" w:after="0" w:line="360" w:lineRule="auto"/>
        <w:ind w:left="360"/>
        <w:jc w:val="both"/>
        <w:rPr>
          <w:b w:val="0"/>
          <w:sz w:val="20"/>
          <w:szCs w:val="20"/>
          <w:lang w:val="en-ZA"/>
        </w:rPr>
      </w:pPr>
      <w:r w:rsidRPr="00127E50">
        <w:rPr>
          <w:b w:val="0"/>
          <w:sz w:val="20"/>
          <w:szCs w:val="20"/>
          <w:lang w:val="en-ZA"/>
        </w:rPr>
        <w:t xml:space="preserve">Tel: +44-20 8548 3636 </w:t>
      </w:r>
    </w:p>
    <w:p w:rsidR="004160B1" w:rsidRPr="00127E50" w:rsidRDefault="004160B1" w:rsidP="00127E50">
      <w:pPr>
        <w:pStyle w:val="Heading4"/>
        <w:keepNext/>
        <w:autoSpaceDE w:val="0"/>
        <w:autoSpaceDN w:val="0"/>
        <w:adjustRightInd w:val="0"/>
        <w:spacing w:before="0" w:after="0" w:line="360" w:lineRule="auto"/>
        <w:ind w:firstLine="360"/>
        <w:jc w:val="both"/>
        <w:rPr>
          <w:b w:val="0"/>
          <w:sz w:val="20"/>
          <w:szCs w:val="20"/>
          <w:lang w:val="en-US"/>
        </w:rPr>
      </w:pPr>
      <w:r w:rsidRPr="00127E50">
        <w:rPr>
          <w:b w:val="0"/>
          <w:sz w:val="20"/>
          <w:szCs w:val="20"/>
          <w:lang w:val="en-ZA"/>
        </w:rPr>
        <w:t>Products promoted:</w:t>
      </w:r>
    </w:p>
    <w:p w:rsidR="004160B1" w:rsidRPr="00127E50" w:rsidRDefault="00257806" w:rsidP="00127E50">
      <w:pPr>
        <w:pStyle w:val="Heading4"/>
        <w:keepNext/>
        <w:autoSpaceDE w:val="0"/>
        <w:autoSpaceDN w:val="0"/>
        <w:adjustRightInd w:val="0"/>
        <w:spacing w:before="0" w:after="0" w:line="360" w:lineRule="auto"/>
        <w:ind w:left="360"/>
        <w:jc w:val="both"/>
        <w:rPr>
          <w:b w:val="0"/>
          <w:sz w:val="20"/>
          <w:szCs w:val="20"/>
          <w:lang w:val="en-ZA"/>
        </w:rPr>
      </w:pPr>
      <w:hyperlink r:id="rId32" w:history="1">
        <w:r w:rsidR="004160B1" w:rsidRPr="00127E50">
          <w:rPr>
            <w:rStyle w:val="Hyperlink"/>
            <w:b w:val="0"/>
            <w:color w:val="auto"/>
            <w:sz w:val="20"/>
            <w:szCs w:val="20"/>
            <w:lang w:val="en-ZA"/>
          </w:rPr>
          <w:t>Sugar,</w:t>
        </w:r>
      </w:hyperlink>
      <w:r w:rsidR="004160B1" w:rsidRPr="00127E50">
        <w:rPr>
          <w:b w:val="0"/>
          <w:sz w:val="20"/>
          <w:szCs w:val="20"/>
          <w:lang w:val="en-ZA"/>
        </w:rPr>
        <w:t xml:space="preserve"> </w:t>
      </w:r>
      <w:hyperlink r:id="rId33" w:history="1">
        <w:r w:rsidR="004160B1" w:rsidRPr="00127E50">
          <w:rPr>
            <w:rStyle w:val="Hyperlink"/>
            <w:b w:val="0"/>
            <w:color w:val="auto"/>
            <w:sz w:val="20"/>
            <w:szCs w:val="20"/>
            <w:lang w:val="en-ZA"/>
          </w:rPr>
          <w:t>Salt,</w:t>
        </w:r>
      </w:hyperlink>
      <w:r w:rsidR="004160B1" w:rsidRPr="00127E50">
        <w:rPr>
          <w:b w:val="0"/>
          <w:sz w:val="20"/>
          <w:szCs w:val="20"/>
          <w:lang w:val="en-ZA"/>
        </w:rPr>
        <w:t xml:space="preserve"> </w:t>
      </w:r>
      <w:hyperlink r:id="rId34" w:history="1">
        <w:r w:rsidR="004160B1" w:rsidRPr="00127E50">
          <w:rPr>
            <w:rStyle w:val="Hyperlink"/>
            <w:b w:val="0"/>
            <w:color w:val="auto"/>
            <w:sz w:val="20"/>
            <w:szCs w:val="20"/>
            <w:lang w:val="en-ZA"/>
          </w:rPr>
          <w:t>Flour,</w:t>
        </w:r>
      </w:hyperlink>
      <w:r w:rsidR="004160B1" w:rsidRPr="00127E50">
        <w:rPr>
          <w:b w:val="0"/>
          <w:sz w:val="20"/>
          <w:szCs w:val="20"/>
          <w:lang w:val="en-ZA"/>
        </w:rPr>
        <w:t xml:space="preserve"> </w:t>
      </w:r>
      <w:hyperlink r:id="rId35" w:history="1">
        <w:r w:rsidR="004160B1" w:rsidRPr="00127E50">
          <w:rPr>
            <w:rStyle w:val="Hyperlink"/>
            <w:b w:val="0"/>
            <w:color w:val="auto"/>
            <w:sz w:val="20"/>
            <w:szCs w:val="20"/>
            <w:lang w:val="en-ZA"/>
          </w:rPr>
          <w:t>Starches,</w:t>
        </w:r>
      </w:hyperlink>
      <w:r w:rsidR="004160B1" w:rsidRPr="00127E50">
        <w:rPr>
          <w:b w:val="0"/>
          <w:sz w:val="20"/>
          <w:szCs w:val="20"/>
          <w:lang w:val="en-ZA"/>
        </w:rPr>
        <w:t xml:space="preserve"> </w:t>
      </w:r>
      <w:hyperlink r:id="rId36" w:history="1">
        <w:r w:rsidR="004160B1" w:rsidRPr="00127E50">
          <w:rPr>
            <w:rStyle w:val="Hyperlink"/>
            <w:b w:val="0"/>
            <w:color w:val="auto"/>
            <w:sz w:val="20"/>
            <w:szCs w:val="20"/>
            <w:lang w:val="en-ZA"/>
          </w:rPr>
          <w:t>Rice,</w:t>
        </w:r>
      </w:hyperlink>
      <w:r w:rsidR="004160B1" w:rsidRPr="00127E50">
        <w:rPr>
          <w:b w:val="0"/>
          <w:sz w:val="20"/>
          <w:szCs w:val="20"/>
          <w:lang w:val="en-ZA"/>
        </w:rPr>
        <w:t xml:space="preserve"> </w:t>
      </w:r>
      <w:hyperlink r:id="rId37" w:history="1">
        <w:r w:rsidR="004160B1" w:rsidRPr="00127E50">
          <w:rPr>
            <w:rStyle w:val="Hyperlink"/>
            <w:b w:val="0"/>
            <w:color w:val="auto"/>
            <w:sz w:val="20"/>
            <w:szCs w:val="20"/>
            <w:lang w:val="en-ZA"/>
          </w:rPr>
          <w:t>Rice Products,</w:t>
        </w:r>
      </w:hyperlink>
      <w:r w:rsidR="004160B1" w:rsidRPr="00127E50">
        <w:rPr>
          <w:b w:val="0"/>
          <w:sz w:val="20"/>
          <w:szCs w:val="20"/>
          <w:lang w:val="en-ZA"/>
        </w:rPr>
        <w:t xml:space="preserve"> </w:t>
      </w:r>
      <w:hyperlink r:id="rId38" w:history="1">
        <w:r w:rsidR="004160B1" w:rsidRPr="00127E50">
          <w:rPr>
            <w:rStyle w:val="Hyperlink"/>
            <w:b w:val="0"/>
            <w:color w:val="auto"/>
            <w:sz w:val="20"/>
            <w:szCs w:val="20"/>
            <w:lang w:val="en-ZA"/>
          </w:rPr>
          <w:t>Canned Fruits,</w:t>
        </w:r>
      </w:hyperlink>
      <w:r w:rsidR="004160B1" w:rsidRPr="00127E50">
        <w:rPr>
          <w:b w:val="0"/>
          <w:sz w:val="20"/>
          <w:szCs w:val="20"/>
          <w:lang w:val="en-ZA"/>
        </w:rPr>
        <w:t xml:space="preserve"> </w:t>
      </w:r>
      <w:hyperlink r:id="rId39" w:history="1">
        <w:r w:rsidR="004160B1" w:rsidRPr="00127E50">
          <w:rPr>
            <w:rStyle w:val="Hyperlink"/>
            <w:b w:val="0"/>
            <w:color w:val="auto"/>
            <w:sz w:val="20"/>
            <w:szCs w:val="20"/>
            <w:lang w:val="en-ZA"/>
          </w:rPr>
          <w:t>Vegetables Preserves,</w:t>
        </w:r>
      </w:hyperlink>
      <w:r w:rsidR="004160B1" w:rsidRPr="00127E50">
        <w:rPr>
          <w:b w:val="0"/>
          <w:sz w:val="20"/>
          <w:szCs w:val="20"/>
          <w:lang w:val="en-ZA"/>
        </w:rPr>
        <w:t xml:space="preserve"> </w:t>
      </w:r>
      <w:hyperlink r:id="rId40" w:history="1">
        <w:r w:rsidR="004160B1" w:rsidRPr="00127E50">
          <w:rPr>
            <w:rStyle w:val="Hyperlink"/>
            <w:b w:val="0"/>
            <w:color w:val="auto"/>
            <w:sz w:val="20"/>
            <w:szCs w:val="20"/>
            <w:lang w:val="en-ZA"/>
          </w:rPr>
          <w:t>Mushroom Preserves,</w:t>
        </w:r>
      </w:hyperlink>
      <w:r w:rsidR="004160B1" w:rsidRPr="00127E50">
        <w:rPr>
          <w:b w:val="0"/>
          <w:sz w:val="20"/>
          <w:szCs w:val="20"/>
          <w:lang w:val="en-ZA"/>
        </w:rPr>
        <w:t xml:space="preserve"> </w:t>
      </w:r>
      <w:hyperlink r:id="rId41" w:history="1">
        <w:r w:rsidR="004160B1" w:rsidRPr="00127E50">
          <w:rPr>
            <w:rStyle w:val="Hyperlink"/>
            <w:b w:val="0"/>
            <w:color w:val="auto"/>
            <w:sz w:val="20"/>
            <w:szCs w:val="20"/>
            <w:lang w:val="en-ZA"/>
          </w:rPr>
          <w:t>Seasonings,</w:t>
        </w:r>
      </w:hyperlink>
      <w:r w:rsidR="004160B1" w:rsidRPr="00127E50">
        <w:rPr>
          <w:b w:val="0"/>
          <w:sz w:val="20"/>
          <w:szCs w:val="20"/>
          <w:lang w:val="en-ZA"/>
        </w:rPr>
        <w:t xml:space="preserve"> </w:t>
      </w:r>
      <w:hyperlink r:id="rId42" w:history="1">
        <w:r w:rsidR="004160B1" w:rsidRPr="00127E50">
          <w:rPr>
            <w:rStyle w:val="Hyperlink"/>
            <w:b w:val="0"/>
            <w:color w:val="auto"/>
            <w:sz w:val="20"/>
            <w:szCs w:val="20"/>
            <w:lang w:val="en-ZA"/>
          </w:rPr>
          <w:t>Sauces,</w:t>
        </w:r>
      </w:hyperlink>
      <w:r w:rsidR="004160B1" w:rsidRPr="00127E50">
        <w:rPr>
          <w:b w:val="0"/>
          <w:sz w:val="20"/>
          <w:szCs w:val="20"/>
          <w:lang w:val="en-ZA"/>
        </w:rPr>
        <w:t xml:space="preserve"> </w:t>
      </w:r>
      <w:hyperlink r:id="rId43" w:history="1">
        <w:r w:rsidR="004160B1" w:rsidRPr="00127E50">
          <w:rPr>
            <w:rStyle w:val="Hyperlink"/>
            <w:b w:val="0"/>
            <w:color w:val="auto"/>
            <w:sz w:val="20"/>
            <w:szCs w:val="20"/>
            <w:lang w:val="en-ZA"/>
          </w:rPr>
          <w:t>Meat Extracts,</w:t>
        </w:r>
      </w:hyperlink>
      <w:r w:rsidR="004160B1" w:rsidRPr="00127E50">
        <w:rPr>
          <w:b w:val="0"/>
          <w:sz w:val="20"/>
          <w:szCs w:val="20"/>
          <w:lang w:val="en-ZA"/>
        </w:rPr>
        <w:t xml:space="preserve"> </w:t>
      </w:r>
      <w:hyperlink r:id="rId44" w:history="1">
        <w:r w:rsidR="004160B1" w:rsidRPr="00127E50">
          <w:rPr>
            <w:rStyle w:val="Hyperlink"/>
            <w:b w:val="0"/>
            <w:color w:val="auto"/>
            <w:sz w:val="20"/>
            <w:szCs w:val="20"/>
            <w:lang w:val="en-ZA"/>
          </w:rPr>
          <w:t>Soup Stocks,</w:t>
        </w:r>
      </w:hyperlink>
      <w:r w:rsidR="004160B1" w:rsidRPr="00127E50">
        <w:rPr>
          <w:b w:val="0"/>
          <w:sz w:val="20"/>
          <w:szCs w:val="20"/>
          <w:lang w:val="en-ZA"/>
        </w:rPr>
        <w:t xml:space="preserve"> </w:t>
      </w:r>
      <w:hyperlink r:id="rId45" w:history="1">
        <w:r w:rsidR="004160B1" w:rsidRPr="00127E50">
          <w:rPr>
            <w:rStyle w:val="Hyperlink"/>
            <w:b w:val="0"/>
            <w:color w:val="auto"/>
            <w:sz w:val="20"/>
            <w:szCs w:val="20"/>
            <w:lang w:val="en-ZA"/>
          </w:rPr>
          <w:t>Vinegar,</w:t>
        </w:r>
      </w:hyperlink>
      <w:r w:rsidR="004160B1" w:rsidRPr="00127E50">
        <w:rPr>
          <w:b w:val="0"/>
          <w:sz w:val="20"/>
          <w:szCs w:val="20"/>
          <w:lang w:val="en-ZA"/>
        </w:rPr>
        <w:t xml:space="preserve"> </w:t>
      </w:r>
      <w:hyperlink r:id="rId46" w:history="1">
        <w:r w:rsidR="004160B1" w:rsidRPr="00127E50">
          <w:rPr>
            <w:rStyle w:val="Hyperlink"/>
            <w:b w:val="0"/>
            <w:color w:val="auto"/>
            <w:sz w:val="20"/>
            <w:szCs w:val="20"/>
            <w:lang w:val="en-ZA"/>
          </w:rPr>
          <w:t>Ketchup,</w:t>
        </w:r>
      </w:hyperlink>
      <w:r w:rsidR="004160B1" w:rsidRPr="00127E50">
        <w:rPr>
          <w:b w:val="0"/>
          <w:sz w:val="20"/>
          <w:szCs w:val="20"/>
          <w:lang w:val="en-ZA"/>
        </w:rPr>
        <w:t xml:space="preserve"> </w:t>
      </w:r>
      <w:hyperlink r:id="rId47" w:history="1">
        <w:r w:rsidR="004160B1" w:rsidRPr="00127E50">
          <w:rPr>
            <w:rStyle w:val="Hyperlink"/>
            <w:b w:val="0"/>
            <w:color w:val="auto"/>
            <w:sz w:val="20"/>
            <w:szCs w:val="20"/>
            <w:lang w:val="en-ZA"/>
          </w:rPr>
          <w:t>Tomato Puree,</w:t>
        </w:r>
      </w:hyperlink>
      <w:r w:rsidR="004160B1" w:rsidRPr="00127E50">
        <w:rPr>
          <w:b w:val="0"/>
          <w:sz w:val="20"/>
          <w:szCs w:val="20"/>
          <w:lang w:val="en-ZA"/>
        </w:rPr>
        <w:t xml:space="preserve"> </w:t>
      </w:r>
      <w:hyperlink r:id="rId48" w:history="1">
        <w:r w:rsidR="004160B1" w:rsidRPr="00127E50">
          <w:rPr>
            <w:rStyle w:val="Hyperlink"/>
            <w:b w:val="0"/>
            <w:color w:val="auto"/>
            <w:sz w:val="20"/>
            <w:szCs w:val="20"/>
            <w:lang w:val="en-ZA"/>
          </w:rPr>
          <w:t>Soya Sauce,</w:t>
        </w:r>
      </w:hyperlink>
      <w:r w:rsidR="004160B1" w:rsidRPr="00127E50">
        <w:rPr>
          <w:b w:val="0"/>
          <w:sz w:val="20"/>
          <w:szCs w:val="20"/>
          <w:lang w:val="en-ZA"/>
        </w:rPr>
        <w:t xml:space="preserve"> </w:t>
      </w:r>
      <w:hyperlink r:id="rId49" w:history="1">
        <w:r w:rsidR="004160B1" w:rsidRPr="00127E50">
          <w:rPr>
            <w:rStyle w:val="Hyperlink"/>
            <w:b w:val="0"/>
            <w:color w:val="auto"/>
            <w:sz w:val="20"/>
            <w:szCs w:val="20"/>
            <w:lang w:val="en-ZA"/>
          </w:rPr>
          <w:t>Dried Fruits,</w:t>
        </w:r>
      </w:hyperlink>
      <w:r w:rsidR="004160B1" w:rsidRPr="00127E50">
        <w:rPr>
          <w:b w:val="0"/>
          <w:sz w:val="20"/>
          <w:szCs w:val="20"/>
          <w:lang w:val="en-ZA"/>
        </w:rPr>
        <w:t xml:space="preserve"> </w:t>
      </w:r>
      <w:hyperlink r:id="rId50" w:history="1">
        <w:r w:rsidR="004160B1" w:rsidRPr="00127E50">
          <w:rPr>
            <w:rStyle w:val="Hyperlink"/>
            <w:b w:val="0"/>
            <w:color w:val="auto"/>
            <w:sz w:val="20"/>
            <w:szCs w:val="20"/>
            <w:lang w:val="en-ZA"/>
          </w:rPr>
          <w:t>Dried Vegetables,</w:t>
        </w:r>
      </w:hyperlink>
      <w:r w:rsidR="004160B1" w:rsidRPr="00127E50">
        <w:rPr>
          <w:b w:val="0"/>
          <w:sz w:val="20"/>
          <w:szCs w:val="20"/>
          <w:lang w:val="en-ZA"/>
        </w:rPr>
        <w:t xml:space="preserve"> </w:t>
      </w:r>
      <w:hyperlink r:id="rId51" w:history="1">
        <w:r w:rsidR="004160B1" w:rsidRPr="00127E50">
          <w:rPr>
            <w:rStyle w:val="Hyperlink"/>
            <w:b w:val="0"/>
            <w:color w:val="auto"/>
            <w:sz w:val="20"/>
            <w:szCs w:val="20"/>
            <w:lang w:val="en-ZA"/>
          </w:rPr>
          <w:t>Vegetable Oil,</w:t>
        </w:r>
      </w:hyperlink>
      <w:r w:rsidR="004160B1" w:rsidRPr="00127E50">
        <w:rPr>
          <w:b w:val="0"/>
          <w:sz w:val="20"/>
          <w:szCs w:val="20"/>
          <w:lang w:val="en-ZA"/>
        </w:rPr>
        <w:t xml:space="preserve"> </w:t>
      </w:r>
      <w:hyperlink r:id="rId52" w:history="1">
        <w:r w:rsidR="004160B1" w:rsidRPr="00127E50">
          <w:rPr>
            <w:rStyle w:val="Hyperlink"/>
            <w:b w:val="0"/>
            <w:color w:val="auto"/>
            <w:sz w:val="20"/>
            <w:szCs w:val="20"/>
            <w:lang w:val="en-ZA"/>
          </w:rPr>
          <w:t>Soya Products,</w:t>
        </w:r>
      </w:hyperlink>
      <w:r w:rsidR="004160B1" w:rsidRPr="00127E50">
        <w:rPr>
          <w:b w:val="0"/>
          <w:sz w:val="20"/>
          <w:szCs w:val="20"/>
          <w:lang w:val="en-ZA"/>
        </w:rPr>
        <w:t xml:space="preserve"> </w:t>
      </w:r>
      <w:hyperlink r:id="rId53" w:history="1">
        <w:r w:rsidR="004160B1" w:rsidRPr="00127E50">
          <w:rPr>
            <w:rStyle w:val="Hyperlink"/>
            <w:b w:val="0"/>
            <w:color w:val="auto"/>
            <w:sz w:val="20"/>
            <w:szCs w:val="20"/>
            <w:lang w:val="en-ZA"/>
          </w:rPr>
          <w:t>Sugar Confectionery</w:t>
        </w:r>
      </w:hyperlink>
      <w:r w:rsidR="004160B1" w:rsidRPr="00127E50">
        <w:rPr>
          <w:b w:val="0"/>
          <w:sz w:val="20"/>
          <w:szCs w:val="20"/>
          <w:lang w:val="en-ZA"/>
        </w:rPr>
        <w:t xml:space="preserve"> </w:t>
      </w:r>
    </w:p>
    <w:p w:rsidR="007B6B21" w:rsidRPr="000D562F" w:rsidRDefault="007B6B21" w:rsidP="009F36C5">
      <w:pPr>
        <w:rPr>
          <w:color w:val="4F81BD" w:themeColor="accent1"/>
          <w:sz w:val="20"/>
          <w:szCs w:val="20"/>
        </w:rPr>
        <w:sectPr w:rsidR="007B6B21" w:rsidRPr="000D562F" w:rsidSect="00C65C51">
          <w:pgSz w:w="12240" w:h="15840"/>
          <w:pgMar w:top="1418" w:right="1418" w:bottom="1418" w:left="1418" w:header="720" w:footer="720" w:gutter="0"/>
          <w:cols w:space="720" w:equalWidth="0">
            <w:col w:w="9022" w:space="720"/>
          </w:cols>
          <w:docGrid w:linePitch="360"/>
        </w:sectPr>
      </w:pPr>
    </w:p>
    <w:p w:rsidR="000F6B93" w:rsidRPr="000D562F" w:rsidRDefault="000F6B93" w:rsidP="00E41E5A">
      <w:pPr>
        <w:pStyle w:val="Heading1"/>
        <w:pBdr>
          <w:top w:val="single" w:sz="4" w:space="1" w:color="auto"/>
          <w:bottom w:val="single" w:sz="4" w:space="1" w:color="auto"/>
        </w:pBdr>
        <w:ind w:left="4320" w:firstLine="720"/>
        <w:rPr>
          <w:sz w:val="20"/>
          <w:szCs w:val="20"/>
        </w:rPr>
      </w:pPr>
      <w:bookmarkStart w:id="26" w:name="_Toc290627309"/>
      <w:r w:rsidRPr="000D562F">
        <w:rPr>
          <w:sz w:val="20"/>
          <w:szCs w:val="20"/>
        </w:rPr>
        <w:lastRenderedPageBreak/>
        <w:t>Annex 1: Market Attractiveness</w:t>
      </w:r>
      <w:r w:rsidR="00222029" w:rsidRPr="000D562F">
        <w:rPr>
          <w:sz w:val="20"/>
          <w:szCs w:val="20"/>
        </w:rPr>
        <w:t xml:space="preserve"> </w:t>
      </w:r>
      <w:r w:rsidRPr="000D562F">
        <w:rPr>
          <w:sz w:val="20"/>
          <w:szCs w:val="20"/>
        </w:rPr>
        <w:t>Table</w:t>
      </w:r>
      <w:bookmarkEnd w:id="26"/>
      <w:r w:rsidR="00E41E5A">
        <w:rPr>
          <w:sz w:val="20"/>
          <w:szCs w:val="20"/>
        </w:rPr>
        <w:t xml:space="preserve">              </w:t>
      </w:r>
    </w:p>
    <w:p w:rsidR="000F6B93" w:rsidRPr="000D562F" w:rsidRDefault="000F6B93" w:rsidP="000F6B93">
      <w:pPr>
        <w:ind w:left="720"/>
        <w:rPr>
          <w:color w:val="4F81BD" w:themeColor="accent1"/>
          <w:sz w:val="20"/>
          <w:szCs w:val="20"/>
        </w:rPr>
      </w:pPr>
    </w:p>
    <w:p w:rsidR="007C305F" w:rsidRDefault="007C305F" w:rsidP="009F36C5">
      <w:pPr>
        <w:rPr>
          <w:color w:val="4F81BD" w:themeColor="accent1"/>
          <w:sz w:val="20"/>
          <w:szCs w:val="20"/>
        </w:rPr>
      </w:pPr>
    </w:p>
    <w:p w:rsidR="002E0688" w:rsidRDefault="002E0688" w:rsidP="009F36C5">
      <w:pPr>
        <w:rPr>
          <w:color w:val="4F81BD" w:themeColor="accent1"/>
          <w:sz w:val="20"/>
          <w:szCs w:val="20"/>
        </w:rPr>
      </w:pPr>
    </w:p>
    <w:tbl>
      <w:tblPr>
        <w:tblpPr w:leftFromText="180" w:rightFromText="180" w:vertAnchor="text" w:tblpY="1"/>
        <w:tblOverlap w:val="never"/>
        <w:tblW w:w="13987" w:type="dxa"/>
        <w:tblCellMar>
          <w:left w:w="0" w:type="dxa"/>
          <w:right w:w="0" w:type="dxa"/>
        </w:tblCellMar>
        <w:tblLook w:val="04A0"/>
      </w:tblPr>
      <w:tblGrid>
        <w:gridCol w:w="1086"/>
        <w:gridCol w:w="740"/>
        <w:gridCol w:w="730"/>
        <w:gridCol w:w="667"/>
        <w:gridCol w:w="1237"/>
        <w:gridCol w:w="1014"/>
        <w:gridCol w:w="755"/>
        <w:gridCol w:w="1939"/>
        <w:gridCol w:w="1942"/>
        <w:gridCol w:w="1940"/>
        <w:gridCol w:w="1937"/>
      </w:tblGrid>
      <w:tr w:rsidR="00E41E5A" w:rsidRPr="002E0688" w:rsidTr="00E41E5A">
        <w:trPr>
          <w:trHeight w:val="2503"/>
        </w:trPr>
        <w:tc>
          <w:tcPr>
            <w:tcW w:w="0" w:type="auto"/>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 xml:space="preserve">Importing Markets   Ranking by Country </w:t>
            </w:r>
            <w:r w:rsidR="00E41E5A" w:rsidRPr="00E41E5A">
              <w:rPr>
                <w:rFonts w:cs="Arial"/>
                <w:sz w:val="18"/>
                <w:szCs w:val="18"/>
                <w:lang w:val="en-ZA"/>
              </w:rPr>
              <w:t xml:space="preserve">   (Index</w:t>
            </w:r>
            <w:r w:rsidRPr="00E41E5A">
              <w:rPr>
                <w:rFonts w:cs="Arial"/>
                <w:sz w:val="18"/>
                <w:szCs w:val="18"/>
                <w:lang w:val="en-ZA"/>
              </w:rPr>
              <w:t>)</w:t>
            </w:r>
          </w:p>
        </w:tc>
        <w:tc>
          <w:tcPr>
            <w:tcW w:w="0" w:type="auto"/>
            <w:tcBorders>
              <w:top w:val="single" w:sz="4" w:space="0" w:color="000000"/>
              <w:left w:val="single" w:sz="4" w:space="0" w:color="000000"/>
              <w:bottom w:val="single" w:sz="4" w:space="0" w:color="000000"/>
              <w:right w:val="single" w:sz="4" w:space="0" w:color="000000"/>
            </w:tcBorders>
            <w:shd w:val="clear" w:color="auto" w:fill="D99795"/>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Market total imports from the world</w:t>
            </w:r>
          </w:p>
        </w:tc>
        <w:tc>
          <w:tcPr>
            <w:tcW w:w="0" w:type="auto"/>
            <w:tcBorders>
              <w:top w:val="single" w:sz="4" w:space="0" w:color="000000"/>
              <w:left w:val="single" w:sz="4" w:space="0" w:color="000000"/>
              <w:bottom w:val="single" w:sz="4" w:space="0" w:color="000000"/>
              <w:right w:val="single" w:sz="4" w:space="0" w:color="000000"/>
            </w:tcBorders>
            <w:shd w:val="clear" w:color="auto" w:fill="C2D69A"/>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Share of market in world imports</w:t>
            </w:r>
          </w:p>
        </w:tc>
        <w:tc>
          <w:tcPr>
            <w:tcW w:w="0" w:type="auto"/>
            <w:tcBorders>
              <w:top w:val="single" w:sz="4" w:space="0" w:color="000000"/>
              <w:left w:val="single" w:sz="4" w:space="0" w:color="000000"/>
              <w:bottom w:val="single" w:sz="4" w:space="0" w:color="000000"/>
              <w:right w:val="single" w:sz="4" w:space="0" w:color="000000"/>
            </w:tcBorders>
            <w:shd w:val="clear" w:color="auto" w:fill="B2A1C7"/>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Import growth from the world</w:t>
            </w:r>
          </w:p>
        </w:tc>
        <w:tc>
          <w:tcPr>
            <w:tcW w:w="0" w:type="auto"/>
            <w:tcBorders>
              <w:top w:val="single" w:sz="4" w:space="0" w:color="000000"/>
              <w:left w:val="single" w:sz="4" w:space="0" w:color="000000"/>
              <w:bottom w:val="single" w:sz="4" w:space="0" w:color="000000"/>
              <w:right w:val="single" w:sz="4" w:space="0" w:color="000000"/>
            </w:tcBorders>
            <w:shd w:val="clear" w:color="auto" w:fill="B6DDE8"/>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Preference margin for South Africa vis-à-vis its competitors in target market</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Does SA have an tariff advantage Y or No?</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Index of the distance</w:t>
            </w:r>
          </w:p>
        </w:tc>
        <w:tc>
          <w:tcPr>
            <w:tcW w:w="0" w:type="auto"/>
            <w:tcBorders>
              <w:top w:val="single" w:sz="4" w:space="0" w:color="000000"/>
              <w:left w:val="single" w:sz="4" w:space="0" w:color="000000"/>
              <w:bottom w:val="single" w:sz="4" w:space="0" w:color="000000"/>
              <w:right w:val="single" w:sz="4" w:space="0" w:color="000000"/>
            </w:tcBorders>
            <w:shd w:val="clear" w:color="auto" w:fill="FCD5B4"/>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 xml:space="preserve">SOUTH AFRICA  </w:t>
            </w:r>
            <w:r w:rsidRPr="00E41E5A">
              <w:rPr>
                <w:rFonts w:cs="Arial"/>
                <w:bCs/>
                <w:sz w:val="18"/>
                <w:szCs w:val="18"/>
                <w:lang w:val="en-ZA"/>
              </w:rPr>
              <w:t>Top 1st</w:t>
            </w:r>
            <w:r w:rsidRPr="00E41E5A">
              <w:rPr>
                <w:rFonts w:cs="Arial"/>
                <w:sz w:val="18"/>
                <w:szCs w:val="18"/>
                <w:lang w:val="en-ZA"/>
              </w:rPr>
              <w:t xml:space="preserve"> competitor on the market:name(share on the market;market tariff applied)</w:t>
            </w:r>
          </w:p>
        </w:tc>
        <w:tc>
          <w:tcPr>
            <w:tcW w:w="0" w:type="auto"/>
            <w:tcBorders>
              <w:top w:val="single" w:sz="4" w:space="0" w:color="000000"/>
              <w:left w:val="single" w:sz="4" w:space="0" w:color="000000"/>
              <w:bottom w:val="single" w:sz="4" w:space="0" w:color="000000"/>
              <w:right w:val="single" w:sz="4" w:space="0" w:color="000000"/>
            </w:tcBorders>
            <w:shd w:val="clear" w:color="auto" w:fill="FCD5B4"/>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 xml:space="preserve">SOUTH AFRICA  </w:t>
            </w:r>
            <w:r w:rsidRPr="00E41E5A">
              <w:rPr>
                <w:rFonts w:cs="Arial"/>
                <w:bCs/>
                <w:sz w:val="18"/>
                <w:szCs w:val="18"/>
                <w:lang w:val="en-ZA"/>
              </w:rPr>
              <w:t>Top 2nd</w:t>
            </w:r>
            <w:r w:rsidRPr="00E41E5A">
              <w:rPr>
                <w:rFonts w:cs="Arial"/>
                <w:sz w:val="18"/>
                <w:szCs w:val="18"/>
                <w:lang w:val="en-ZA"/>
              </w:rPr>
              <w:t xml:space="preserve"> competitor on the market:name(share on the market;market tariff applied)</w:t>
            </w:r>
          </w:p>
        </w:tc>
        <w:tc>
          <w:tcPr>
            <w:tcW w:w="0" w:type="auto"/>
            <w:tcBorders>
              <w:top w:val="single" w:sz="4" w:space="0" w:color="000000"/>
              <w:left w:val="single" w:sz="4" w:space="0" w:color="000000"/>
              <w:bottom w:val="single" w:sz="4" w:space="0" w:color="000000"/>
              <w:right w:val="single" w:sz="4" w:space="0" w:color="000000"/>
            </w:tcBorders>
            <w:shd w:val="clear" w:color="auto" w:fill="FCD5B4"/>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 xml:space="preserve">SOUTH AFRICA  </w:t>
            </w:r>
            <w:r w:rsidRPr="00E41E5A">
              <w:rPr>
                <w:rFonts w:cs="Arial"/>
                <w:bCs/>
                <w:sz w:val="18"/>
                <w:szCs w:val="18"/>
                <w:lang w:val="en-ZA"/>
              </w:rPr>
              <w:t>Top</w:t>
            </w:r>
            <w:r w:rsidRPr="00E41E5A">
              <w:rPr>
                <w:rFonts w:cs="Arial"/>
                <w:sz w:val="18"/>
                <w:szCs w:val="18"/>
                <w:lang w:val="en-ZA"/>
              </w:rPr>
              <w:t xml:space="preserve"> </w:t>
            </w:r>
            <w:r w:rsidRPr="00E41E5A">
              <w:rPr>
                <w:rFonts w:cs="Arial"/>
                <w:bCs/>
                <w:sz w:val="18"/>
                <w:szCs w:val="18"/>
                <w:lang w:val="en-ZA"/>
              </w:rPr>
              <w:t>3rd</w:t>
            </w:r>
            <w:r w:rsidRPr="00E41E5A">
              <w:rPr>
                <w:rFonts w:cs="Arial"/>
                <w:sz w:val="18"/>
                <w:szCs w:val="18"/>
                <w:lang w:val="en-ZA"/>
              </w:rPr>
              <w:t xml:space="preserve"> competitor on the market:name(share on the market;market tariff applied)</w:t>
            </w:r>
          </w:p>
        </w:tc>
        <w:tc>
          <w:tcPr>
            <w:tcW w:w="0" w:type="auto"/>
            <w:tcBorders>
              <w:top w:val="single" w:sz="4" w:space="0" w:color="000000"/>
              <w:left w:val="single" w:sz="4" w:space="0" w:color="000000"/>
              <w:bottom w:val="single" w:sz="4" w:space="0" w:color="000000"/>
              <w:right w:val="single" w:sz="4" w:space="0" w:color="000000"/>
            </w:tcBorders>
            <w:shd w:val="clear" w:color="auto" w:fill="FCD5B4"/>
            <w:tcMar>
              <w:top w:w="15" w:type="dxa"/>
              <w:left w:w="15" w:type="dxa"/>
              <w:bottom w:w="0" w:type="dxa"/>
              <w:right w:w="15" w:type="dxa"/>
            </w:tcMar>
            <w:vAlign w:val="center"/>
            <w:hideMark/>
          </w:tcPr>
          <w:p w:rsidR="002E0688" w:rsidRPr="00E41E5A" w:rsidRDefault="00E41E5A" w:rsidP="00E41E5A">
            <w:pPr>
              <w:jc w:val="center"/>
              <w:rPr>
                <w:rFonts w:cs="Arial"/>
                <w:sz w:val="18"/>
                <w:szCs w:val="18"/>
                <w:lang w:val="en-ZA"/>
              </w:rPr>
            </w:pPr>
            <w:r w:rsidRPr="00E41E5A">
              <w:rPr>
                <w:rFonts w:cs="Arial"/>
                <w:sz w:val="18"/>
                <w:szCs w:val="18"/>
                <w:lang w:val="en-ZA"/>
              </w:rPr>
              <w:t xml:space="preserve">SOUTH AFRICA  </w:t>
            </w:r>
            <w:r w:rsidRPr="00E41E5A">
              <w:rPr>
                <w:rFonts w:cs="Arial"/>
                <w:bCs/>
                <w:sz w:val="18"/>
                <w:szCs w:val="18"/>
                <w:lang w:val="en-ZA"/>
              </w:rPr>
              <w:t>Top</w:t>
            </w:r>
            <w:r w:rsidRPr="00E41E5A">
              <w:rPr>
                <w:rFonts w:cs="Arial"/>
                <w:sz w:val="18"/>
                <w:szCs w:val="18"/>
                <w:lang w:val="en-ZA"/>
              </w:rPr>
              <w:t xml:space="preserve"> </w:t>
            </w:r>
            <w:r>
              <w:rPr>
                <w:rFonts w:cs="Arial"/>
                <w:bCs/>
                <w:sz w:val="18"/>
                <w:szCs w:val="18"/>
                <w:lang w:val="en-ZA"/>
              </w:rPr>
              <w:t>4</w:t>
            </w:r>
            <w:r w:rsidRPr="00E41E5A">
              <w:rPr>
                <w:rFonts w:cs="Arial"/>
                <w:bCs/>
                <w:sz w:val="18"/>
                <w:szCs w:val="18"/>
                <w:vertAlign w:val="superscript"/>
                <w:lang w:val="en-ZA"/>
              </w:rPr>
              <w:t>th</w:t>
            </w:r>
            <w:r>
              <w:rPr>
                <w:rFonts w:cs="Arial"/>
                <w:bCs/>
                <w:sz w:val="18"/>
                <w:szCs w:val="18"/>
                <w:lang w:val="en-ZA"/>
              </w:rPr>
              <w:t xml:space="preserve"> </w:t>
            </w:r>
            <w:r w:rsidRPr="00E41E5A">
              <w:rPr>
                <w:rFonts w:cs="Arial"/>
                <w:sz w:val="18"/>
                <w:szCs w:val="18"/>
                <w:lang w:val="en-ZA"/>
              </w:rPr>
              <w:t>competitor on the market:name(share on the market;market tariff applied)</w:t>
            </w:r>
          </w:p>
        </w:tc>
      </w:tr>
      <w:tr w:rsidR="00E41E5A" w:rsidRPr="002E0688" w:rsidTr="00E41E5A">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E41E5A" w:rsidP="00E41E5A">
            <w:pPr>
              <w:jc w:val="center"/>
              <w:rPr>
                <w:rFonts w:cs="Arial"/>
                <w:sz w:val="18"/>
                <w:szCs w:val="18"/>
                <w:lang w:val="en-ZA"/>
              </w:rPr>
            </w:pPr>
            <w:r>
              <w:rPr>
                <w:rFonts w:cs="Arial"/>
                <w:sz w:val="18"/>
                <w:szCs w:val="18"/>
                <w:lang w:val="en-ZA"/>
              </w:rPr>
              <w:t>1. Romania (84</w:t>
            </w:r>
            <w:r w:rsidR="002E0688" w:rsidRPr="00E41E5A">
              <w:rPr>
                <w:rFonts w:cs="Arial"/>
                <w:sz w:val="18"/>
                <w:szCs w:val="18"/>
                <w:lang w:val="en-Z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79 713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144.5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Hungary (76.3%;0%)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Bulgaria (12.1%;0%)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Moldova R. (10.9%;0%)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United States (0.3%, 8.1%)</w:t>
            </w:r>
          </w:p>
        </w:tc>
      </w:tr>
      <w:tr w:rsidR="00E41E5A" w:rsidRPr="002E0688" w:rsidTr="00E41E5A">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2.U.K (79,-)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210 166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-0.66%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France (54.1%;0%)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Netherlands (21.3%;0%)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Belgium (9.2%;0%)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bCs/>
                <w:sz w:val="18"/>
                <w:szCs w:val="18"/>
                <w:lang w:val="en-ZA"/>
              </w:rPr>
              <w:t>Argentina ( 8.7%, 6.1%)</w:t>
            </w:r>
          </w:p>
        </w:tc>
      </w:tr>
      <w:tr w:rsidR="00E41E5A" w:rsidRPr="002E0688" w:rsidTr="00E41E5A">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E41E5A" w:rsidP="00E41E5A">
            <w:pPr>
              <w:jc w:val="center"/>
              <w:rPr>
                <w:rFonts w:cs="Arial"/>
                <w:sz w:val="18"/>
                <w:szCs w:val="18"/>
                <w:lang w:val="en-ZA"/>
              </w:rPr>
            </w:pPr>
            <w:r>
              <w:rPr>
                <w:rFonts w:cs="Arial"/>
                <w:sz w:val="18"/>
                <w:szCs w:val="18"/>
                <w:lang w:val="en-ZA"/>
              </w:rPr>
              <w:t>3. Belgium (71</w:t>
            </w:r>
            <w:r w:rsidR="002E0688" w:rsidRPr="00E41E5A">
              <w:rPr>
                <w:rFonts w:cs="Arial"/>
                <w:sz w:val="18"/>
                <w:szCs w:val="18"/>
                <w:lang w:val="en-Z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149 174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Netherlands (75.6%;0%)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France (14.5%;0%)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Germany (6.3%;0%)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Austria (0.6%, 0%)</w:t>
            </w:r>
          </w:p>
        </w:tc>
      </w:tr>
      <w:tr w:rsidR="00E41E5A" w:rsidRPr="002E0688" w:rsidTr="00E41E5A">
        <w:trPr>
          <w:trHeight w:val="99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E41E5A" w:rsidP="00E41E5A">
            <w:pPr>
              <w:jc w:val="center"/>
              <w:rPr>
                <w:rFonts w:cs="Arial"/>
                <w:sz w:val="18"/>
                <w:szCs w:val="18"/>
                <w:lang w:val="en-ZA"/>
              </w:rPr>
            </w:pPr>
            <w:r>
              <w:rPr>
                <w:rFonts w:cs="Arial"/>
                <w:sz w:val="18"/>
                <w:szCs w:val="18"/>
                <w:lang w:val="en-ZA"/>
              </w:rPr>
              <w:t>4. Uzbekistan (65</w:t>
            </w:r>
            <w:r w:rsidR="002E0688" w:rsidRPr="00E41E5A">
              <w:rPr>
                <w:rFonts w:cs="Arial"/>
                <w:sz w:val="18"/>
                <w:szCs w:val="18"/>
                <w:lang w:val="en-Z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48 150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89.0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Russia (66.1%;0%)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Ukraine (23.2%;0%)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Kazakhstan (10%;0%)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Moldova (0.6%, 0%)</w:t>
            </w:r>
          </w:p>
        </w:tc>
      </w:tr>
      <w:tr w:rsidR="00E41E5A" w:rsidRPr="002E0688" w:rsidTr="00E41E5A">
        <w:trPr>
          <w:trHeight w:val="134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E41E5A" w:rsidP="00E41E5A">
            <w:pPr>
              <w:jc w:val="center"/>
              <w:rPr>
                <w:rFonts w:cs="Arial"/>
                <w:sz w:val="18"/>
                <w:szCs w:val="18"/>
                <w:lang w:val="en-ZA"/>
              </w:rPr>
            </w:pPr>
            <w:r>
              <w:rPr>
                <w:rFonts w:cs="Arial"/>
                <w:sz w:val="18"/>
                <w:szCs w:val="18"/>
                <w:lang w:val="en-ZA"/>
              </w:rPr>
              <w:t>5.Canada (61</w:t>
            </w:r>
            <w:r w:rsidR="002E0688" w:rsidRPr="00E41E5A">
              <w:rPr>
                <w:rFonts w:cs="Arial"/>
                <w:sz w:val="18"/>
                <w:szCs w:val="18"/>
                <w:lang w:val="en-ZA"/>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82 052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U.S.A (92.9%;0%)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Bolivia (5.1%;10.3%)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Argentina (1.3%;10.3%)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0688" w:rsidRPr="00E41E5A" w:rsidRDefault="002E0688" w:rsidP="00E41E5A">
            <w:pPr>
              <w:jc w:val="center"/>
              <w:rPr>
                <w:rFonts w:cs="Arial"/>
                <w:sz w:val="18"/>
                <w:szCs w:val="18"/>
                <w:lang w:val="en-ZA"/>
              </w:rPr>
            </w:pPr>
            <w:r w:rsidRPr="00E41E5A">
              <w:rPr>
                <w:rFonts w:cs="Arial"/>
                <w:sz w:val="18"/>
                <w:szCs w:val="18"/>
                <w:lang w:val="en-ZA"/>
              </w:rPr>
              <w:t>Mexico (0.2%, 0%)</w:t>
            </w:r>
          </w:p>
        </w:tc>
      </w:tr>
    </w:tbl>
    <w:p w:rsidR="002E0688" w:rsidRPr="000D562F" w:rsidRDefault="00F01467" w:rsidP="009F36C5">
      <w:pPr>
        <w:rPr>
          <w:color w:val="4F81BD" w:themeColor="accent1"/>
          <w:sz w:val="20"/>
          <w:szCs w:val="20"/>
        </w:rPr>
        <w:sectPr w:rsidR="002E0688" w:rsidRPr="000D562F" w:rsidSect="00F01467">
          <w:pgSz w:w="15840" w:h="12240" w:orient="landscape"/>
          <w:pgMar w:top="1440" w:right="1440" w:bottom="1440" w:left="1440" w:header="720" w:footer="720" w:gutter="0"/>
          <w:cols w:space="720" w:equalWidth="0">
            <w:col w:w="9000" w:space="720"/>
          </w:cols>
          <w:docGrid w:linePitch="360"/>
        </w:sectPr>
      </w:pPr>
      <w:r>
        <w:rPr>
          <w:color w:val="4F81BD" w:themeColor="accent1"/>
          <w:sz w:val="20"/>
          <w:szCs w:val="20"/>
        </w:rPr>
        <w:br w:type="textWrapping" w:clear="all"/>
      </w:r>
    </w:p>
    <w:p w:rsidR="009F36C5" w:rsidRPr="000D562F" w:rsidRDefault="0000767A" w:rsidP="009F36C5">
      <w:pPr>
        <w:pStyle w:val="Heading1"/>
        <w:pBdr>
          <w:top w:val="single" w:sz="4" w:space="1" w:color="auto"/>
          <w:bottom w:val="single" w:sz="4" w:space="1" w:color="auto"/>
        </w:pBdr>
        <w:jc w:val="center"/>
        <w:rPr>
          <w:sz w:val="20"/>
          <w:szCs w:val="20"/>
        </w:rPr>
      </w:pPr>
      <w:bookmarkStart w:id="27" w:name="_Toc290627310"/>
      <w:r w:rsidRPr="000D562F">
        <w:rPr>
          <w:sz w:val="20"/>
          <w:szCs w:val="20"/>
        </w:rPr>
        <w:lastRenderedPageBreak/>
        <w:t xml:space="preserve">Annex </w:t>
      </w:r>
      <w:r w:rsidR="00CA3031" w:rsidRPr="000D562F">
        <w:rPr>
          <w:sz w:val="20"/>
          <w:szCs w:val="20"/>
        </w:rPr>
        <w:t>2</w:t>
      </w:r>
      <w:r w:rsidRPr="000D562F">
        <w:rPr>
          <w:sz w:val="20"/>
          <w:szCs w:val="20"/>
        </w:rPr>
        <w:t xml:space="preserve">: Potential </w:t>
      </w:r>
      <w:r w:rsidR="009F36C5" w:rsidRPr="000D562F">
        <w:rPr>
          <w:sz w:val="20"/>
          <w:szCs w:val="20"/>
        </w:rPr>
        <w:t>P</w:t>
      </w:r>
      <w:r w:rsidRPr="000D562F">
        <w:rPr>
          <w:sz w:val="20"/>
          <w:szCs w:val="20"/>
        </w:rPr>
        <w:t>rospects</w:t>
      </w:r>
      <w:bookmarkEnd w:id="27"/>
    </w:p>
    <w:p w:rsidR="009F36C5" w:rsidRPr="000D562F" w:rsidRDefault="009F36C5" w:rsidP="00E41E5A">
      <w:pPr>
        <w:pStyle w:val="Heading4"/>
        <w:keepNext/>
        <w:numPr>
          <w:ilvl w:val="0"/>
          <w:numId w:val="4"/>
        </w:numPr>
        <w:autoSpaceDE w:val="0"/>
        <w:autoSpaceDN w:val="0"/>
        <w:adjustRightInd w:val="0"/>
        <w:spacing w:before="240" w:after="120"/>
        <w:rPr>
          <w:b w:val="0"/>
          <w:color w:val="4F81BD" w:themeColor="accent1"/>
          <w:sz w:val="20"/>
          <w:szCs w:val="20"/>
        </w:rPr>
      </w:pPr>
      <w:r w:rsidRPr="000D562F">
        <w:rPr>
          <w:b w:val="0"/>
          <w:color w:val="4F81BD" w:themeColor="accent1"/>
          <w:sz w:val="20"/>
          <w:szCs w:val="20"/>
        </w:rPr>
        <w:t>Provide a list of potential selected importers/traders in target market</w:t>
      </w:r>
      <w:r w:rsidR="00EC4062" w:rsidRPr="000D562F">
        <w:rPr>
          <w:b w:val="0"/>
          <w:color w:val="4F81BD" w:themeColor="accent1"/>
          <w:sz w:val="20"/>
          <w:szCs w:val="20"/>
        </w:rPr>
        <w:t xml:space="preserve">. Try to identify the main </w:t>
      </w:r>
      <w:r w:rsidR="00C65C51" w:rsidRPr="000D562F">
        <w:rPr>
          <w:b w:val="0"/>
          <w:color w:val="4F81BD" w:themeColor="accent1"/>
          <w:sz w:val="20"/>
          <w:szCs w:val="20"/>
        </w:rPr>
        <w:t xml:space="preserve">importing </w:t>
      </w:r>
      <w:r w:rsidR="00EC4062" w:rsidRPr="000D562F">
        <w:rPr>
          <w:b w:val="0"/>
          <w:color w:val="4F81BD" w:themeColor="accent1"/>
          <w:sz w:val="20"/>
          <w:szCs w:val="20"/>
        </w:rPr>
        <w:t>companies.</w:t>
      </w:r>
    </w:p>
    <w:p w:rsidR="00764F07" w:rsidRPr="000D562F" w:rsidRDefault="00764F07" w:rsidP="009F36C5">
      <w:pPr>
        <w:pStyle w:val="Heading4"/>
        <w:keepNext/>
        <w:tabs>
          <w:tab w:val="num" w:pos="786"/>
        </w:tabs>
        <w:autoSpaceDE w:val="0"/>
        <w:autoSpaceDN w:val="0"/>
        <w:adjustRightInd w:val="0"/>
        <w:spacing w:before="240" w:after="120"/>
        <w:ind w:left="786" w:hanging="360"/>
        <w:rPr>
          <w:b w:val="0"/>
          <w:color w:val="4F81BD" w:themeColor="accent1"/>
          <w:sz w:val="20"/>
          <w:szCs w:val="20"/>
        </w:rPr>
      </w:pPr>
    </w:p>
    <w:p w:rsidR="00EC4062" w:rsidRPr="000D562F" w:rsidRDefault="00EC4062" w:rsidP="00EC4062">
      <w:pPr>
        <w:rPr>
          <w:rFonts w:cs="Arial"/>
          <w:b/>
          <w:sz w:val="20"/>
          <w:szCs w:val="20"/>
          <w:u w:val="single"/>
        </w:rPr>
        <w:sectPr w:rsidR="00EC4062" w:rsidRPr="000D562F" w:rsidSect="00C65C51">
          <w:pgSz w:w="12240" w:h="15840"/>
          <w:pgMar w:top="1418" w:right="1418" w:bottom="1418" w:left="1418" w:header="720" w:footer="720" w:gutter="0"/>
          <w:cols w:space="720" w:equalWidth="0">
            <w:col w:w="9022" w:space="720"/>
          </w:cols>
          <w:docGrid w:linePitch="360"/>
        </w:sectPr>
      </w:pPr>
    </w:p>
    <w:p w:rsidR="00EC4062" w:rsidRPr="000D562F" w:rsidRDefault="00EC4062" w:rsidP="00EC4062">
      <w:pPr>
        <w:rPr>
          <w:rFonts w:cs="Arial"/>
          <w:b/>
          <w:sz w:val="20"/>
          <w:szCs w:val="20"/>
          <w:u w:val="single"/>
        </w:rPr>
      </w:pPr>
      <w:r w:rsidRPr="000D562F">
        <w:rPr>
          <w:rFonts w:cs="Arial"/>
          <w:b/>
          <w:sz w:val="20"/>
          <w:szCs w:val="20"/>
          <w:u w:val="single"/>
        </w:rPr>
        <w:lastRenderedPageBreak/>
        <w:t>Import agents</w:t>
      </w:r>
    </w:p>
    <w:p w:rsidR="00EC4062" w:rsidRPr="000D562F" w:rsidRDefault="00EC4062" w:rsidP="00EC4062">
      <w:pPr>
        <w:tabs>
          <w:tab w:val="left" w:pos="3090"/>
        </w:tabs>
        <w:rPr>
          <w:rFonts w:cs="Arial"/>
          <w:b/>
          <w:sz w:val="20"/>
          <w:szCs w:val="20"/>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tabs>
          <w:tab w:val="left" w:pos="3090"/>
        </w:tabs>
        <w:rPr>
          <w:rFonts w:cs="Arial"/>
          <w:sz w:val="20"/>
          <w:szCs w:val="20"/>
        </w:rPr>
      </w:pPr>
    </w:p>
    <w:p w:rsidR="00EC4062" w:rsidRPr="000D562F" w:rsidRDefault="00EC4062" w:rsidP="00EC4062">
      <w:pPr>
        <w:tabs>
          <w:tab w:val="left" w:pos="3090"/>
        </w:tabs>
        <w:rPr>
          <w:rFonts w:cs="Arial"/>
          <w:sz w:val="20"/>
          <w:szCs w:val="20"/>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r w:rsidRPr="000D562F">
        <w:rPr>
          <w:rFonts w:cs="Arial"/>
          <w:b/>
          <w:sz w:val="20"/>
          <w:szCs w:val="20"/>
          <w:u w:val="single"/>
        </w:rPr>
        <w:t>Retailers</w:t>
      </w:r>
    </w:p>
    <w:p w:rsidR="00EC4062" w:rsidRPr="000D562F" w:rsidRDefault="00EC4062" w:rsidP="00EC4062">
      <w:pPr>
        <w:rPr>
          <w:rFonts w:cs="Arial"/>
          <w:sz w:val="20"/>
          <w:szCs w:val="20"/>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rPr>
          <w:rFonts w:cs="Arial"/>
          <w:sz w:val="20"/>
          <w:szCs w:val="20"/>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rPr>
          <w:rFonts w:cs="Arial"/>
          <w:sz w:val="20"/>
          <w:szCs w:val="20"/>
        </w:rPr>
      </w:pPr>
    </w:p>
    <w:p w:rsidR="00EC4062" w:rsidRPr="000D562F" w:rsidRDefault="00EC4062" w:rsidP="00EC4062">
      <w:pPr>
        <w:rPr>
          <w:rFonts w:cs="Arial"/>
          <w:sz w:val="20"/>
          <w:szCs w:val="20"/>
        </w:rPr>
      </w:pPr>
    </w:p>
    <w:p w:rsidR="00EC4062" w:rsidRPr="000D562F" w:rsidRDefault="00EC4062"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537D7B" w:rsidRDefault="00537D7B" w:rsidP="00537D7B">
      <w:pPr>
        <w:jc w:val="both"/>
        <w:rPr>
          <w:rFonts w:cs="Arial"/>
          <w:sz w:val="20"/>
          <w:szCs w:val="20"/>
        </w:rPr>
      </w:pPr>
      <w:r w:rsidRPr="001A6F09">
        <w:rPr>
          <w:rFonts w:cs="Arial"/>
          <w:sz w:val="20"/>
          <w:szCs w:val="20"/>
        </w:rPr>
        <w:t>http://www.cadexco.bo/actual/boletin-inteligencia/Promising%20EU%20export%20markets%20for%20sunflower%20oil.pdf</w:t>
      </w:r>
    </w:p>
    <w:p w:rsidR="002E0027" w:rsidRDefault="002E0027" w:rsidP="00537D7B">
      <w:pPr>
        <w:jc w:val="both"/>
        <w:rPr>
          <w:rFonts w:cs="Arial"/>
          <w:sz w:val="20"/>
          <w:szCs w:val="20"/>
        </w:rPr>
      </w:pPr>
    </w:p>
    <w:p w:rsidR="002E0027" w:rsidRPr="00476A5B" w:rsidRDefault="002E0027" w:rsidP="002E0027">
      <w:pPr>
        <w:jc w:val="both"/>
        <w:rPr>
          <w:rFonts w:cs="Arial"/>
          <w:sz w:val="20"/>
          <w:szCs w:val="20"/>
        </w:rPr>
        <w:sectPr w:rsidR="002E0027" w:rsidRPr="00476A5B" w:rsidSect="002E0027">
          <w:footerReference w:type="default" r:id="rId54"/>
          <w:type w:val="continuous"/>
          <w:pgSz w:w="12240" w:h="15840"/>
          <w:pgMar w:top="1418" w:right="1418" w:bottom="1418" w:left="1418" w:header="720" w:footer="720" w:gutter="0"/>
          <w:cols w:space="720" w:equalWidth="0">
            <w:col w:w="9022" w:space="720"/>
          </w:cols>
          <w:docGrid w:linePitch="360"/>
        </w:sectPr>
      </w:pPr>
      <w:r>
        <w:t>Vegetable oil (sunflower and other seeds) is used for frying. (</w:t>
      </w:r>
      <w:r w:rsidRPr="001A6F09">
        <w:t>http://www.fdin.org.uk/2010/04/half-of-uk-households-use-olive-oil/</w:t>
      </w:r>
      <w:r>
        <w:t>)</w:t>
      </w:r>
    </w:p>
    <w:p w:rsidR="002E0027" w:rsidRDefault="002E0027" w:rsidP="00537D7B">
      <w:pPr>
        <w:jc w:val="both"/>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B23FDD" w:rsidRPr="000D562F" w:rsidRDefault="00B23FDD" w:rsidP="00EC4062">
      <w:pPr>
        <w:rPr>
          <w:rFonts w:cs="Arial"/>
          <w:sz w:val="20"/>
          <w:szCs w:val="20"/>
        </w:rPr>
      </w:pPr>
    </w:p>
    <w:p w:rsidR="00EC4062" w:rsidRPr="000D562F" w:rsidRDefault="00EC4062" w:rsidP="00EC4062">
      <w:pPr>
        <w:rPr>
          <w:rFonts w:cs="Arial"/>
          <w:b/>
          <w:sz w:val="20"/>
          <w:szCs w:val="20"/>
          <w:u w:val="single"/>
        </w:rPr>
      </w:pPr>
      <w:r w:rsidRPr="000D562F">
        <w:rPr>
          <w:rFonts w:cs="Arial"/>
          <w:b/>
          <w:sz w:val="20"/>
          <w:szCs w:val="20"/>
          <w:u w:val="single"/>
        </w:rPr>
        <w:t>Specialty stores</w:t>
      </w: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r w:rsidRPr="000D562F">
        <w:rPr>
          <w:rFonts w:cs="Arial"/>
          <w:b/>
          <w:sz w:val="20"/>
          <w:szCs w:val="20"/>
          <w:u w:val="single"/>
        </w:rPr>
        <w:t>Name</w:t>
      </w:r>
    </w:p>
    <w:p w:rsidR="00EC4062" w:rsidRPr="000D562F" w:rsidRDefault="00EC4062" w:rsidP="00EC4062">
      <w:pPr>
        <w:rPr>
          <w:rFonts w:cs="Arial"/>
          <w:sz w:val="20"/>
          <w:szCs w:val="20"/>
        </w:rPr>
      </w:pPr>
      <w:r w:rsidRPr="000D562F">
        <w:rPr>
          <w:rFonts w:cs="Arial"/>
          <w:sz w:val="20"/>
          <w:szCs w:val="20"/>
        </w:rPr>
        <w:t>Address</w:t>
      </w:r>
    </w:p>
    <w:p w:rsidR="00EC4062" w:rsidRPr="000D562F" w:rsidRDefault="00EC4062" w:rsidP="00EC4062">
      <w:pPr>
        <w:rPr>
          <w:rFonts w:cs="Arial"/>
          <w:sz w:val="20"/>
          <w:szCs w:val="20"/>
        </w:rPr>
      </w:pPr>
      <w:r w:rsidRPr="000D562F">
        <w:rPr>
          <w:rFonts w:cs="Arial"/>
          <w:sz w:val="20"/>
          <w:szCs w:val="20"/>
        </w:rPr>
        <w:t>Phone (with International Code)</w:t>
      </w:r>
    </w:p>
    <w:p w:rsidR="00EC4062" w:rsidRPr="000D562F" w:rsidRDefault="00EC4062" w:rsidP="00EC4062">
      <w:pPr>
        <w:rPr>
          <w:rFonts w:cs="Arial"/>
          <w:sz w:val="20"/>
          <w:szCs w:val="20"/>
        </w:rPr>
      </w:pPr>
      <w:r w:rsidRPr="000D562F">
        <w:rPr>
          <w:rFonts w:cs="Arial"/>
          <w:sz w:val="20"/>
          <w:szCs w:val="20"/>
        </w:rPr>
        <w:t>Website:</w:t>
      </w:r>
    </w:p>
    <w:p w:rsidR="00EC4062" w:rsidRPr="000D562F" w:rsidRDefault="00EC4062" w:rsidP="00EC4062">
      <w:pPr>
        <w:rPr>
          <w:rFonts w:cs="Arial"/>
          <w:sz w:val="20"/>
          <w:szCs w:val="20"/>
        </w:rPr>
      </w:pPr>
      <w:r w:rsidRPr="000D562F">
        <w:rPr>
          <w:rFonts w:cs="Arial"/>
          <w:sz w:val="20"/>
          <w:szCs w:val="20"/>
        </w:rPr>
        <w:t>Email:</w:t>
      </w:r>
    </w:p>
    <w:p w:rsidR="00EC4062" w:rsidRPr="000D562F" w:rsidRDefault="00EC4062" w:rsidP="00EC4062">
      <w:pPr>
        <w:rPr>
          <w:rFonts w:cs="Arial"/>
          <w:sz w:val="20"/>
          <w:szCs w:val="20"/>
        </w:rPr>
      </w:pPr>
    </w:p>
    <w:p w:rsidR="00EC4062" w:rsidRPr="000D562F" w:rsidRDefault="00EC4062" w:rsidP="00EC4062">
      <w:pPr>
        <w:rPr>
          <w:rFonts w:cs="Arial"/>
          <w:b/>
          <w:sz w:val="20"/>
          <w:szCs w:val="20"/>
          <w:u w:val="single"/>
        </w:rPr>
      </w:pPr>
      <w:r w:rsidRPr="000D562F">
        <w:rPr>
          <w:rFonts w:cs="Arial"/>
          <w:b/>
          <w:sz w:val="20"/>
          <w:szCs w:val="20"/>
          <w:u w:val="single"/>
        </w:rPr>
        <w:t>...etc</w:t>
      </w: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b/>
          <w:sz w:val="20"/>
          <w:szCs w:val="20"/>
          <w:u w:val="single"/>
        </w:rPr>
      </w:pPr>
    </w:p>
    <w:p w:rsidR="00EC4062" w:rsidRPr="000D562F" w:rsidRDefault="00EC4062" w:rsidP="00EC4062">
      <w:pPr>
        <w:rPr>
          <w:rFonts w:cs="Arial"/>
          <w:sz w:val="20"/>
          <w:szCs w:val="20"/>
        </w:rPr>
      </w:pPr>
    </w:p>
    <w:p w:rsidR="00EC4062" w:rsidRPr="000D562F" w:rsidRDefault="00EC4062" w:rsidP="00EC4062">
      <w:pPr>
        <w:rPr>
          <w:rFonts w:cs="Arial"/>
          <w:sz w:val="20"/>
          <w:szCs w:val="20"/>
        </w:rPr>
      </w:pPr>
    </w:p>
    <w:p w:rsidR="00EC4062" w:rsidRPr="000D562F" w:rsidRDefault="00EC4062" w:rsidP="00EC4062">
      <w:pPr>
        <w:rPr>
          <w:rFonts w:cs="Arial"/>
          <w:b/>
          <w:sz w:val="20"/>
          <w:szCs w:val="20"/>
          <w:u w:val="single"/>
        </w:rPr>
        <w:sectPr w:rsidR="00EC4062" w:rsidRPr="000D562F" w:rsidSect="00EC4062">
          <w:type w:val="continuous"/>
          <w:pgSz w:w="12240" w:h="15840"/>
          <w:pgMar w:top="1418" w:right="1418" w:bottom="1418" w:left="1418" w:header="720" w:footer="720" w:gutter="0"/>
          <w:pgNumType w:start="1"/>
          <w:cols w:num="2" w:space="720"/>
          <w:docGrid w:linePitch="360"/>
        </w:sectPr>
      </w:pPr>
    </w:p>
    <w:p w:rsidR="004777AC" w:rsidRPr="0098302B" w:rsidRDefault="00235D21" w:rsidP="004777AC">
      <w:pPr>
        <w:pStyle w:val="Heading1"/>
        <w:pBdr>
          <w:top w:val="single" w:sz="4" w:space="1" w:color="auto"/>
          <w:bottom w:val="single" w:sz="4" w:space="1" w:color="auto"/>
        </w:pBdr>
        <w:jc w:val="center"/>
        <w:rPr>
          <w:b w:val="0"/>
          <w:sz w:val="20"/>
          <w:szCs w:val="20"/>
        </w:rPr>
      </w:pPr>
      <w:bookmarkStart w:id="28" w:name="_Toc290627311"/>
      <w:r w:rsidRPr="000D562F">
        <w:rPr>
          <w:sz w:val="20"/>
          <w:szCs w:val="20"/>
        </w:rPr>
        <w:lastRenderedPageBreak/>
        <w:t xml:space="preserve">Annex </w:t>
      </w:r>
      <w:r w:rsidR="00CA3031" w:rsidRPr="000D562F">
        <w:rPr>
          <w:sz w:val="20"/>
          <w:szCs w:val="20"/>
        </w:rPr>
        <w:t>3</w:t>
      </w:r>
      <w:r w:rsidRPr="000D562F">
        <w:rPr>
          <w:sz w:val="20"/>
          <w:szCs w:val="20"/>
        </w:rPr>
        <w:t xml:space="preserve">:  </w:t>
      </w:r>
      <w:bookmarkEnd w:id="28"/>
      <w:r w:rsidR="004777AC">
        <w:rPr>
          <w:sz w:val="20"/>
          <w:szCs w:val="20"/>
        </w:rPr>
        <w:t>Non-tariff Measures</w:t>
      </w:r>
    </w:p>
    <w:p w:rsidR="004777AC" w:rsidRDefault="004777AC" w:rsidP="004777AC">
      <w:pPr>
        <w:rPr>
          <w:rFonts w:cs="Arial"/>
          <w:b/>
          <w:sz w:val="20"/>
          <w:szCs w:val="20"/>
        </w:rPr>
      </w:pPr>
    </w:p>
    <w:p w:rsidR="004777AC" w:rsidRDefault="004777AC" w:rsidP="004777AC">
      <w:pPr>
        <w:rPr>
          <w:rFonts w:cs="Arial"/>
          <w:b/>
          <w:sz w:val="20"/>
          <w:szCs w:val="20"/>
        </w:rPr>
      </w:pPr>
      <w:r w:rsidRPr="0098302B">
        <w:rPr>
          <w:rFonts w:cs="Arial"/>
          <w:b/>
          <w:sz w:val="20"/>
          <w:szCs w:val="20"/>
        </w:rPr>
        <w:t>Mandatory measures:</w:t>
      </w:r>
    </w:p>
    <w:p w:rsidR="004777AC" w:rsidRPr="000D562F" w:rsidRDefault="004777AC" w:rsidP="004777AC">
      <w:pPr>
        <w:rPr>
          <w:rFonts w:cs="Arial"/>
          <w:sz w:val="20"/>
          <w:szCs w:val="20"/>
        </w:rPr>
      </w:pPr>
    </w:p>
    <w:tbl>
      <w:tblPr>
        <w:tblW w:w="5000" w:type="pct"/>
        <w:tblCellMar>
          <w:left w:w="0" w:type="dxa"/>
          <w:right w:w="0" w:type="dxa"/>
        </w:tblCellMar>
        <w:tblLook w:val="04A0"/>
      </w:tblPr>
      <w:tblGrid>
        <w:gridCol w:w="1329"/>
        <w:gridCol w:w="1899"/>
        <w:gridCol w:w="2588"/>
        <w:gridCol w:w="3422"/>
      </w:tblGrid>
      <w:tr w:rsidR="004777AC" w:rsidRPr="00A855BC" w:rsidTr="00E426E0">
        <w:trPr>
          <w:trHeight w:val="480"/>
        </w:trPr>
        <w:tc>
          <w:tcPr>
            <w:tcW w:w="719"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A855BC" w:rsidRDefault="004777AC" w:rsidP="00E426E0">
            <w:pPr>
              <w:rPr>
                <w:sz w:val="18"/>
                <w:szCs w:val="18"/>
                <w:lang w:val="en-ZA"/>
              </w:rPr>
            </w:pPr>
            <w:r w:rsidRPr="00A855BC">
              <w:rPr>
                <w:b/>
                <w:bCs/>
                <w:sz w:val="18"/>
                <w:szCs w:val="18"/>
                <w:lang w:val="en-US"/>
              </w:rPr>
              <w:t>Level</w:t>
            </w:r>
            <w:r w:rsidRPr="00A855BC">
              <w:rPr>
                <w:b/>
                <w:bCs/>
                <w:sz w:val="18"/>
                <w:szCs w:val="18"/>
                <w:lang w:val="en-ZA"/>
              </w:rPr>
              <w:t xml:space="preserve"> </w:t>
            </w:r>
          </w:p>
        </w:tc>
        <w:tc>
          <w:tcPr>
            <w:tcW w:w="1028"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A855BC" w:rsidRDefault="004777AC" w:rsidP="00E426E0">
            <w:pPr>
              <w:rPr>
                <w:sz w:val="18"/>
                <w:szCs w:val="18"/>
                <w:lang w:val="en-ZA"/>
              </w:rPr>
            </w:pPr>
            <w:r w:rsidRPr="00A855BC">
              <w:rPr>
                <w:b/>
                <w:bCs/>
                <w:sz w:val="18"/>
                <w:szCs w:val="18"/>
                <w:lang w:val="en-US"/>
              </w:rPr>
              <w:t>Field</w:t>
            </w:r>
            <w:r w:rsidRPr="00A855BC">
              <w:rPr>
                <w:b/>
                <w:bCs/>
                <w:sz w:val="18"/>
                <w:szCs w:val="18"/>
                <w:lang w:val="en-ZA"/>
              </w:rPr>
              <w:t xml:space="preserve"> </w:t>
            </w:r>
          </w:p>
        </w:tc>
        <w:tc>
          <w:tcPr>
            <w:tcW w:w="1401" w:type="pct"/>
            <w:tcBorders>
              <w:top w:val="single" w:sz="8" w:space="0" w:color="FFFFFF"/>
              <w:left w:val="single" w:sz="8" w:space="0" w:color="FFFFFF"/>
              <w:bottom w:val="single" w:sz="24" w:space="0" w:color="FFFFFF"/>
              <w:right w:val="single" w:sz="8" w:space="0" w:color="FFFFFF"/>
            </w:tcBorders>
            <w:shd w:val="clear" w:color="auto" w:fill="88AACA"/>
          </w:tcPr>
          <w:p w:rsidR="004777AC" w:rsidRPr="00A855BC" w:rsidRDefault="004777AC" w:rsidP="00E426E0">
            <w:pPr>
              <w:rPr>
                <w:b/>
                <w:bCs/>
                <w:sz w:val="18"/>
                <w:szCs w:val="18"/>
                <w:lang w:val="en-US"/>
              </w:rPr>
            </w:pPr>
            <w:r>
              <w:rPr>
                <w:b/>
                <w:bCs/>
                <w:sz w:val="18"/>
                <w:szCs w:val="18"/>
                <w:lang w:val="en-US"/>
              </w:rPr>
              <w:t>Description</w:t>
            </w:r>
          </w:p>
        </w:tc>
        <w:tc>
          <w:tcPr>
            <w:tcW w:w="1852"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A855BC" w:rsidRDefault="004777AC" w:rsidP="00E426E0">
            <w:pPr>
              <w:rPr>
                <w:sz w:val="18"/>
                <w:szCs w:val="18"/>
                <w:lang w:val="en-ZA"/>
              </w:rPr>
            </w:pPr>
            <w:r w:rsidRPr="00A855BC">
              <w:rPr>
                <w:b/>
                <w:bCs/>
                <w:sz w:val="18"/>
                <w:szCs w:val="18"/>
                <w:lang w:val="en-US"/>
              </w:rPr>
              <w:t>Regulation/Sources of information</w:t>
            </w:r>
            <w:r w:rsidRPr="00A855BC">
              <w:rPr>
                <w:b/>
                <w:bCs/>
                <w:sz w:val="18"/>
                <w:szCs w:val="18"/>
                <w:lang w:val="en-ZA"/>
              </w:rPr>
              <w:t xml:space="preserve"> </w:t>
            </w:r>
          </w:p>
        </w:tc>
      </w:tr>
      <w:tr w:rsidR="004777AC" w:rsidRPr="00A855BC" w:rsidTr="00E426E0">
        <w:trPr>
          <w:trHeight w:val="2332"/>
        </w:trPr>
        <w:tc>
          <w:tcPr>
            <w:tcW w:w="719" w:type="pc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A855BC" w:rsidRDefault="004777AC" w:rsidP="00E426E0">
            <w:pPr>
              <w:rPr>
                <w:sz w:val="18"/>
                <w:szCs w:val="18"/>
                <w:lang w:val="en-ZA"/>
              </w:rPr>
            </w:pPr>
            <w:r w:rsidRPr="00A855BC">
              <w:rPr>
                <w:sz w:val="18"/>
                <w:szCs w:val="18"/>
                <w:lang w:val="en-US"/>
              </w:rPr>
              <w:t>South Africa</w:t>
            </w:r>
            <w:r w:rsidRPr="00A855BC">
              <w:rPr>
                <w:sz w:val="18"/>
                <w:szCs w:val="18"/>
                <w:lang w:val="en-ZA"/>
              </w:rPr>
              <w:t xml:space="preserve"> </w:t>
            </w:r>
          </w:p>
          <w:p w:rsidR="004777AC" w:rsidRPr="00A855BC" w:rsidRDefault="004777AC" w:rsidP="00E426E0">
            <w:pPr>
              <w:rPr>
                <w:sz w:val="18"/>
                <w:szCs w:val="18"/>
                <w:lang w:val="en-ZA"/>
              </w:rPr>
            </w:pPr>
            <w:r w:rsidRPr="00A855BC">
              <w:rPr>
                <w:sz w:val="18"/>
                <w:szCs w:val="18"/>
                <w:lang w:val="en-ZA"/>
              </w:rPr>
              <w:t xml:space="preserve">(WhosWho Report, 2010) </w:t>
            </w:r>
          </w:p>
        </w:tc>
        <w:tc>
          <w:tcPr>
            <w:tcW w:w="1028" w:type="pc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A855BC" w:rsidRDefault="004777AC" w:rsidP="00E426E0">
            <w:pPr>
              <w:rPr>
                <w:sz w:val="18"/>
                <w:szCs w:val="18"/>
                <w:lang w:val="en-ZA"/>
              </w:rPr>
            </w:pPr>
            <w:r w:rsidRPr="00A855BC">
              <w:rPr>
                <w:sz w:val="18"/>
                <w:szCs w:val="18"/>
                <w:lang w:val="en-ZA"/>
              </w:rPr>
              <w:t>Food safety and food hygiene</w:t>
            </w:r>
          </w:p>
        </w:tc>
        <w:tc>
          <w:tcPr>
            <w:tcW w:w="1401" w:type="pct"/>
            <w:tcBorders>
              <w:top w:val="single" w:sz="24" w:space="0" w:color="FFFFFF"/>
              <w:left w:val="single" w:sz="8" w:space="0" w:color="FFFFFF"/>
              <w:bottom w:val="single" w:sz="8" w:space="0" w:color="FFFFFF"/>
              <w:right w:val="single" w:sz="8" w:space="0" w:color="FFFFFF"/>
            </w:tcBorders>
            <w:shd w:val="clear" w:color="auto" w:fill="DAE2EC"/>
          </w:tcPr>
          <w:p w:rsidR="004777AC" w:rsidRPr="00A855BC" w:rsidRDefault="004777AC" w:rsidP="00E426E0">
            <w:pPr>
              <w:rPr>
                <w:sz w:val="18"/>
                <w:szCs w:val="18"/>
                <w:lang w:val="en-ZA"/>
              </w:rPr>
            </w:pPr>
            <w:r>
              <w:rPr>
                <w:sz w:val="18"/>
                <w:szCs w:val="18"/>
                <w:lang w:val="en-ZA"/>
              </w:rPr>
              <w:t>South African sunflower oil will not be allowed to be exported if the product contains any prohibited ingredients or chemicals, is of a poor quality or poses a danger for the consumer.</w:t>
            </w:r>
          </w:p>
        </w:tc>
        <w:tc>
          <w:tcPr>
            <w:tcW w:w="1852" w:type="pc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BE1A74" w:rsidRDefault="004777AC" w:rsidP="00E426E0">
            <w:pPr>
              <w:numPr>
                <w:ilvl w:val="0"/>
                <w:numId w:val="11"/>
              </w:numPr>
              <w:rPr>
                <w:sz w:val="18"/>
                <w:szCs w:val="18"/>
                <w:lang w:val="en-ZA"/>
              </w:rPr>
            </w:pPr>
            <w:r w:rsidRPr="00A855BC">
              <w:rPr>
                <w:sz w:val="18"/>
                <w:szCs w:val="18"/>
                <w:lang w:val="en-ZA"/>
              </w:rPr>
              <w:t>4(3)(a)(ii) of the Agricultural Products</w:t>
            </w:r>
            <w:r w:rsidRPr="00BE1A74">
              <w:rPr>
                <w:sz w:val="18"/>
                <w:szCs w:val="18"/>
                <w:lang w:val="en-ZA"/>
              </w:rPr>
              <w:t xml:space="preserve"> Standards Act 119 of 1990</w:t>
            </w:r>
          </w:p>
          <w:p w:rsidR="004777AC" w:rsidRPr="00A855BC" w:rsidRDefault="004777AC" w:rsidP="00E426E0">
            <w:pPr>
              <w:numPr>
                <w:ilvl w:val="0"/>
                <w:numId w:val="12"/>
              </w:numPr>
              <w:rPr>
                <w:sz w:val="18"/>
                <w:szCs w:val="18"/>
                <w:lang w:val="en-ZA"/>
              </w:rPr>
            </w:pPr>
            <w:r w:rsidRPr="00A855BC">
              <w:rPr>
                <w:sz w:val="18"/>
                <w:szCs w:val="18"/>
                <w:lang w:val="en-ZA"/>
              </w:rPr>
              <w:t>Foodstuffs, Cosmetics and Disinfectants Amendment Act, No. 39 of 2007</w:t>
            </w:r>
          </w:p>
          <w:p w:rsidR="004777AC" w:rsidRDefault="004777AC" w:rsidP="00E426E0">
            <w:pPr>
              <w:numPr>
                <w:ilvl w:val="0"/>
                <w:numId w:val="12"/>
              </w:numPr>
              <w:rPr>
                <w:sz w:val="18"/>
                <w:szCs w:val="18"/>
                <w:lang w:val="en-ZA"/>
              </w:rPr>
            </w:pPr>
            <w:r w:rsidRPr="00A855BC">
              <w:rPr>
                <w:sz w:val="18"/>
                <w:szCs w:val="18"/>
                <w:lang w:val="en-ZA"/>
              </w:rPr>
              <w:t xml:space="preserve">Health Act of 1977 </w:t>
            </w:r>
          </w:p>
          <w:p w:rsidR="004777AC" w:rsidRPr="00A855BC" w:rsidRDefault="004777AC" w:rsidP="00E426E0">
            <w:pPr>
              <w:numPr>
                <w:ilvl w:val="0"/>
                <w:numId w:val="12"/>
              </w:numPr>
              <w:rPr>
                <w:sz w:val="18"/>
                <w:szCs w:val="18"/>
                <w:lang w:val="en-ZA"/>
              </w:rPr>
            </w:pPr>
            <w:r>
              <w:rPr>
                <w:sz w:val="18"/>
                <w:szCs w:val="18"/>
                <w:lang w:val="en-ZA"/>
              </w:rPr>
              <w:t>Department of Health, www.doh.gov.za</w:t>
            </w:r>
          </w:p>
        </w:tc>
      </w:tr>
      <w:tr w:rsidR="004777AC" w:rsidRPr="00A855BC" w:rsidTr="00E426E0">
        <w:trPr>
          <w:trHeight w:val="652"/>
        </w:trPr>
        <w:tc>
          <w:tcPr>
            <w:tcW w:w="719"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A855BC" w:rsidRDefault="004777AC" w:rsidP="00E426E0">
            <w:pPr>
              <w:rPr>
                <w:sz w:val="18"/>
                <w:szCs w:val="18"/>
                <w:lang w:val="en-ZA"/>
              </w:rPr>
            </w:pPr>
            <w:r w:rsidRPr="00A855BC">
              <w:rPr>
                <w:sz w:val="18"/>
                <w:szCs w:val="18"/>
                <w:lang w:val="en-US"/>
              </w:rPr>
              <w:t>European Union</w:t>
            </w:r>
            <w:r w:rsidRPr="00A855BC">
              <w:rPr>
                <w:sz w:val="18"/>
                <w:szCs w:val="18"/>
                <w:lang w:val="en-ZA"/>
              </w:rPr>
              <w:t xml:space="preserve"> </w:t>
            </w:r>
          </w:p>
          <w:p w:rsidR="004777AC" w:rsidRPr="00A855BC" w:rsidRDefault="004777AC" w:rsidP="00E426E0">
            <w:pPr>
              <w:rPr>
                <w:sz w:val="18"/>
                <w:szCs w:val="18"/>
                <w:lang w:val="en-ZA"/>
              </w:rPr>
            </w:pPr>
            <w:r w:rsidRPr="00A855BC">
              <w:rPr>
                <w:sz w:val="18"/>
                <w:szCs w:val="18"/>
                <w:lang w:val="en-US"/>
              </w:rPr>
              <w:t>(Export Helpdesk, 2011)</w:t>
            </w:r>
            <w:r w:rsidRPr="00A855BC">
              <w:rPr>
                <w:sz w:val="18"/>
                <w:szCs w:val="18"/>
                <w:lang w:val="en-ZA"/>
              </w:rPr>
              <w:t xml:space="preserve"> </w:t>
            </w:r>
          </w:p>
        </w:tc>
        <w:tc>
          <w:tcPr>
            <w:tcW w:w="1028"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A855BC" w:rsidRDefault="004777AC" w:rsidP="00E426E0">
            <w:pPr>
              <w:rPr>
                <w:sz w:val="18"/>
                <w:szCs w:val="18"/>
                <w:lang w:val="en-ZA"/>
              </w:rPr>
            </w:pPr>
            <w:r w:rsidRPr="00A855BC">
              <w:rPr>
                <w:sz w:val="18"/>
                <w:szCs w:val="18"/>
                <w:lang w:val="en-US"/>
              </w:rPr>
              <w:t>Control of contaminants in foodstuffs</w:t>
            </w:r>
            <w:r w:rsidRPr="00A855BC">
              <w:rPr>
                <w:sz w:val="18"/>
                <w:szCs w:val="18"/>
                <w:lang w:val="en-ZA"/>
              </w:rPr>
              <w:t xml:space="preserve"> </w:t>
            </w:r>
          </w:p>
        </w:tc>
        <w:tc>
          <w:tcPr>
            <w:tcW w:w="1401" w:type="pct"/>
            <w:tcBorders>
              <w:top w:val="single" w:sz="8" w:space="0" w:color="FFFFFF"/>
              <w:left w:val="single" w:sz="8" w:space="0" w:color="FFFFFF"/>
              <w:bottom w:val="single" w:sz="8" w:space="0" w:color="FFFFFF"/>
              <w:right w:val="single" w:sz="8" w:space="0" w:color="FFFFFF"/>
            </w:tcBorders>
            <w:shd w:val="clear" w:color="auto" w:fill="EDF1F6"/>
          </w:tcPr>
          <w:p w:rsidR="004777AC" w:rsidRPr="006A5039" w:rsidRDefault="004777AC" w:rsidP="00E426E0">
            <w:pPr>
              <w:rPr>
                <w:b/>
                <w:sz w:val="18"/>
                <w:szCs w:val="18"/>
                <w:lang w:val="en-US"/>
              </w:rPr>
            </w:pPr>
            <w:r w:rsidRPr="00424E4F">
              <w:rPr>
                <w:sz w:val="18"/>
                <w:szCs w:val="18"/>
              </w:rPr>
              <w:t>In order to ensure a high level of consumer protection, imports into the European Union (EU) of foodstuffs should comply with EU legislation designed to ensure that food placed on the market is safe to eat and does not contain contaminants at levels which could threaten human health</w:t>
            </w:r>
            <w:r w:rsidRPr="006A5039">
              <w:rPr>
                <w:rFonts w:cs="Arial"/>
                <w:sz w:val="18"/>
                <w:szCs w:val="18"/>
              </w:rPr>
              <w:t>.</w:t>
            </w:r>
            <w:r>
              <w:rPr>
                <w:rFonts w:cs="Arial"/>
                <w:sz w:val="18"/>
                <w:szCs w:val="18"/>
              </w:rPr>
              <w:t xml:space="preserve"> Low levels of dioxins, </w:t>
            </w:r>
            <w:r w:rsidRPr="006A5039">
              <w:rPr>
                <w:rFonts w:cs="Arial"/>
                <w:sz w:val="18"/>
                <w:szCs w:val="18"/>
              </w:rPr>
              <w:t xml:space="preserve">dioxin-like </w:t>
            </w:r>
            <w:r w:rsidRPr="006A5039">
              <w:rPr>
                <w:rFonts w:cs="Arial"/>
                <w:sz w:val="18"/>
                <w:szCs w:val="18"/>
                <w:lang w:val="en-ZA" w:eastAsia="en-GB"/>
              </w:rPr>
              <w:t>polychlorinated biphenyls</w:t>
            </w:r>
            <w:r>
              <w:rPr>
                <w:rFonts w:cs="Arial"/>
                <w:sz w:val="18"/>
                <w:szCs w:val="18"/>
                <w:lang w:val="en-ZA" w:eastAsia="en-GB"/>
              </w:rPr>
              <w:t xml:space="preserve">, and </w:t>
            </w:r>
            <w:r w:rsidRPr="006A5039">
              <w:rPr>
                <w:rFonts w:cs="Arial"/>
                <w:sz w:val="18"/>
                <w:szCs w:val="18"/>
                <w:lang w:val="en-ZA" w:eastAsia="en-GB"/>
              </w:rPr>
              <w:t>Benzopyrene</w:t>
            </w:r>
            <w:r>
              <w:rPr>
                <w:rFonts w:cs="Arial"/>
                <w:sz w:val="18"/>
                <w:szCs w:val="18"/>
                <w:lang w:val="en-ZA" w:eastAsia="en-GB"/>
              </w:rPr>
              <w:t xml:space="preserve"> are important for sunflower oil. </w:t>
            </w:r>
          </w:p>
        </w:tc>
        <w:tc>
          <w:tcPr>
            <w:tcW w:w="1852"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FE7683" w:rsidRDefault="004777AC" w:rsidP="00E426E0">
            <w:pPr>
              <w:pStyle w:val="ListParagraph"/>
              <w:numPr>
                <w:ilvl w:val="0"/>
                <w:numId w:val="14"/>
              </w:numPr>
            </w:pPr>
            <w:r w:rsidRPr="00FE7683">
              <w:rPr>
                <w:rFonts w:cs="Arial"/>
                <w:sz w:val="18"/>
                <w:szCs w:val="18"/>
              </w:rPr>
              <w:t>Council Regulation (EEC) No 315/93 of 8 February 1993</w:t>
            </w:r>
          </w:p>
          <w:p w:rsidR="004777AC" w:rsidRPr="00FE7683" w:rsidRDefault="004777AC" w:rsidP="00E426E0">
            <w:pPr>
              <w:pStyle w:val="ListParagraph"/>
              <w:numPr>
                <w:ilvl w:val="0"/>
                <w:numId w:val="15"/>
              </w:numPr>
            </w:pPr>
            <w:r w:rsidRPr="00FE7683">
              <w:rPr>
                <w:rFonts w:cs="Arial"/>
                <w:sz w:val="18"/>
                <w:szCs w:val="18"/>
              </w:rPr>
              <w:t xml:space="preserve">Commission Regulation (EC) No 1881/2006 of 19 December 2006 </w:t>
            </w:r>
          </w:p>
          <w:p w:rsidR="004777AC" w:rsidRPr="00FE7683" w:rsidRDefault="004777AC" w:rsidP="00E426E0">
            <w:pPr>
              <w:pStyle w:val="ListParagraph"/>
              <w:numPr>
                <w:ilvl w:val="0"/>
                <w:numId w:val="15"/>
              </w:numPr>
            </w:pPr>
            <w:r w:rsidRPr="00FE7683">
              <w:rPr>
                <w:rFonts w:cs="Arial"/>
                <w:sz w:val="18"/>
                <w:szCs w:val="18"/>
              </w:rPr>
              <w:t>Regulation (EC) No 178/2002</w:t>
            </w:r>
          </w:p>
          <w:p w:rsidR="004777AC" w:rsidRPr="00FE7683" w:rsidRDefault="004777AC" w:rsidP="00E426E0">
            <w:pPr>
              <w:pStyle w:val="ListParagraph"/>
              <w:numPr>
                <w:ilvl w:val="0"/>
                <w:numId w:val="15"/>
              </w:numPr>
            </w:pPr>
            <w:r w:rsidRPr="00FE7683">
              <w:rPr>
                <w:rFonts w:cs="Arial"/>
                <w:sz w:val="18"/>
                <w:szCs w:val="18"/>
                <w:lang w:val="en-ZA" w:eastAsia="en-ZA"/>
              </w:rPr>
              <w:t xml:space="preserve">Regulation (EC) No. 852/2004 </w:t>
            </w:r>
          </w:p>
          <w:p w:rsidR="004777AC" w:rsidRPr="001E5FB1" w:rsidRDefault="004777AC" w:rsidP="00E426E0">
            <w:pPr>
              <w:pStyle w:val="ListParagraph"/>
              <w:numPr>
                <w:ilvl w:val="0"/>
                <w:numId w:val="15"/>
              </w:numPr>
            </w:pPr>
            <w:r w:rsidRPr="00FE7683">
              <w:rPr>
                <w:rFonts w:cs="Arial"/>
                <w:sz w:val="18"/>
                <w:szCs w:val="18"/>
              </w:rPr>
              <w:t>Regulation (EC) No 1935/2004</w:t>
            </w:r>
          </w:p>
          <w:p w:rsidR="004777AC" w:rsidRPr="001E5FB1" w:rsidRDefault="004777AC" w:rsidP="00E426E0">
            <w:pPr>
              <w:pStyle w:val="ListParagraph"/>
              <w:numPr>
                <w:ilvl w:val="0"/>
                <w:numId w:val="15"/>
              </w:numPr>
            </w:pPr>
            <w:r w:rsidRPr="001E5FB1">
              <w:rPr>
                <w:rStyle w:val="HTMLCite"/>
                <w:i w:val="0"/>
                <w:sz w:val="18"/>
                <w:szCs w:val="18"/>
              </w:rPr>
              <w:t>European Commission, ec.europa.</w:t>
            </w:r>
            <w:r w:rsidRPr="001E5FB1">
              <w:rPr>
                <w:rStyle w:val="HTMLCite"/>
                <w:bCs/>
                <w:i w:val="0"/>
                <w:sz w:val="18"/>
                <w:szCs w:val="18"/>
              </w:rPr>
              <w:t>eu</w:t>
            </w:r>
            <w:r w:rsidRPr="001E5FB1">
              <w:rPr>
                <w:rStyle w:val="HTMLCite"/>
                <w:i w:val="0"/>
                <w:sz w:val="18"/>
                <w:szCs w:val="18"/>
              </w:rPr>
              <w:t>/</w:t>
            </w:r>
            <w:r w:rsidRPr="001E5FB1">
              <w:rPr>
                <w:rStyle w:val="HTMLCite"/>
                <w:bCs/>
                <w:i w:val="0"/>
                <w:sz w:val="18"/>
                <w:szCs w:val="18"/>
              </w:rPr>
              <w:t>food</w:t>
            </w:r>
            <w:r w:rsidRPr="001E5FB1">
              <w:rPr>
                <w:rStyle w:val="HTMLCite"/>
                <w:i w:val="0"/>
                <w:sz w:val="18"/>
                <w:szCs w:val="18"/>
              </w:rPr>
              <w:t>/</w:t>
            </w:r>
          </w:p>
        </w:tc>
      </w:tr>
      <w:tr w:rsidR="004777AC" w:rsidRPr="00A855BC" w:rsidTr="00E426E0">
        <w:trPr>
          <w:trHeight w:val="1943"/>
        </w:trPr>
        <w:tc>
          <w:tcPr>
            <w:tcW w:w="719" w:type="pct"/>
            <w:tcBorders>
              <w:top w:val="single" w:sz="8"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A855BC" w:rsidRDefault="004777AC" w:rsidP="00E426E0">
            <w:pPr>
              <w:rPr>
                <w:sz w:val="18"/>
                <w:szCs w:val="18"/>
                <w:lang w:val="en-ZA"/>
              </w:rPr>
            </w:pPr>
            <w:r w:rsidRPr="00A855BC">
              <w:rPr>
                <w:sz w:val="18"/>
                <w:szCs w:val="18"/>
                <w:lang w:val="en-US"/>
              </w:rPr>
              <w:t>United Kingdom</w:t>
            </w:r>
            <w:r w:rsidRPr="00A855BC">
              <w:rPr>
                <w:sz w:val="18"/>
                <w:szCs w:val="18"/>
                <w:lang w:val="en-ZA"/>
              </w:rPr>
              <w:t xml:space="preserve"> </w:t>
            </w:r>
          </w:p>
          <w:p w:rsidR="004777AC" w:rsidRPr="00A855BC" w:rsidRDefault="004777AC" w:rsidP="00E426E0">
            <w:pPr>
              <w:rPr>
                <w:sz w:val="18"/>
                <w:szCs w:val="18"/>
                <w:lang w:val="en-ZA"/>
              </w:rPr>
            </w:pPr>
            <w:r w:rsidRPr="00A855BC">
              <w:rPr>
                <w:sz w:val="18"/>
                <w:szCs w:val="18"/>
                <w:lang w:val="en-US"/>
              </w:rPr>
              <w:t>(Food Standards Agency,2011)</w:t>
            </w:r>
            <w:r w:rsidRPr="00A855BC">
              <w:rPr>
                <w:sz w:val="18"/>
                <w:szCs w:val="18"/>
                <w:lang w:val="en-ZA"/>
              </w:rPr>
              <w:t xml:space="preserve"> </w:t>
            </w:r>
          </w:p>
        </w:tc>
        <w:tc>
          <w:tcPr>
            <w:tcW w:w="1028" w:type="pct"/>
            <w:tcBorders>
              <w:top w:val="single" w:sz="8" w:space="0" w:color="FFFFFF"/>
              <w:left w:val="single" w:sz="8" w:space="0" w:color="FFFFFF"/>
              <w:right w:val="single" w:sz="8" w:space="0" w:color="FFFFFF"/>
            </w:tcBorders>
            <w:shd w:val="clear" w:color="auto" w:fill="DAE2EC"/>
            <w:tcMar>
              <w:top w:w="15" w:type="dxa"/>
              <w:left w:w="108" w:type="dxa"/>
              <w:bottom w:w="0" w:type="dxa"/>
              <w:right w:w="108" w:type="dxa"/>
            </w:tcMar>
            <w:hideMark/>
          </w:tcPr>
          <w:p w:rsidR="004777AC" w:rsidRPr="00A855BC" w:rsidRDefault="004777AC" w:rsidP="00E426E0">
            <w:pPr>
              <w:rPr>
                <w:sz w:val="18"/>
                <w:szCs w:val="18"/>
                <w:lang w:val="en-ZA"/>
              </w:rPr>
            </w:pPr>
            <w:r>
              <w:rPr>
                <w:sz w:val="18"/>
                <w:szCs w:val="18"/>
                <w:lang w:val="en-US"/>
              </w:rPr>
              <w:t>Regulations related to i</w:t>
            </w:r>
            <w:r w:rsidRPr="00A855BC">
              <w:rPr>
                <w:sz w:val="18"/>
                <w:szCs w:val="18"/>
                <w:lang w:val="en-US"/>
              </w:rPr>
              <w:t xml:space="preserve">mport </w:t>
            </w:r>
            <w:r>
              <w:rPr>
                <w:sz w:val="18"/>
                <w:szCs w:val="18"/>
                <w:lang w:val="en-US"/>
              </w:rPr>
              <w:t>l</w:t>
            </w:r>
            <w:r w:rsidRPr="00A855BC">
              <w:rPr>
                <w:sz w:val="18"/>
                <w:szCs w:val="18"/>
                <w:lang w:val="en-US"/>
              </w:rPr>
              <w:t>icenses</w:t>
            </w:r>
            <w:r>
              <w:rPr>
                <w:sz w:val="18"/>
                <w:szCs w:val="18"/>
                <w:lang w:val="en-ZA"/>
              </w:rPr>
              <w:t>,</w:t>
            </w:r>
            <w:r w:rsidRPr="00A855BC">
              <w:rPr>
                <w:sz w:val="18"/>
                <w:szCs w:val="18"/>
                <w:lang w:val="en-US"/>
              </w:rPr>
              <w:t xml:space="preserve"> </w:t>
            </w:r>
            <w:r>
              <w:rPr>
                <w:sz w:val="18"/>
                <w:szCs w:val="18"/>
                <w:lang w:val="en-US"/>
              </w:rPr>
              <w:t>f</w:t>
            </w:r>
            <w:r w:rsidRPr="00A855BC">
              <w:rPr>
                <w:sz w:val="18"/>
                <w:szCs w:val="18"/>
                <w:lang w:val="en-US"/>
              </w:rPr>
              <w:t>ood hygiene</w:t>
            </w:r>
            <w:r>
              <w:rPr>
                <w:sz w:val="18"/>
                <w:szCs w:val="18"/>
                <w:lang w:val="en-US"/>
              </w:rPr>
              <w:t>,</w:t>
            </w:r>
            <w:r w:rsidRPr="00A855BC">
              <w:rPr>
                <w:sz w:val="18"/>
                <w:szCs w:val="18"/>
                <w:lang w:val="en-US"/>
              </w:rPr>
              <w:t xml:space="preserve"> </w:t>
            </w:r>
            <w:r>
              <w:rPr>
                <w:sz w:val="18"/>
                <w:szCs w:val="18"/>
                <w:lang w:val="en-US"/>
              </w:rPr>
              <w:t>p</w:t>
            </w:r>
            <w:r w:rsidRPr="00A855BC">
              <w:rPr>
                <w:sz w:val="18"/>
                <w:szCs w:val="18"/>
                <w:lang w:val="en-US"/>
              </w:rPr>
              <w:t>esticides</w:t>
            </w:r>
            <w:r>
              <w:rPr>
                <w:sz w:val="18"/>
                <w:szCs w:val="18"/>
                <w:lang w:val="en-US"/>
              </w:rPr>
              <w:t>,</w:t>
            </w:r>
            <w:r w:rsidRPr="00A855BC">
              <w:rPr>
                <w:sz w:val="18"/>
                <w:szCs w:val="18"/>
                <w:lang w:val="en-US"/>
              </w:rPr>
              <w:t xml:space="preserve"> </w:t>
            </w:r>
            <w:r>
              <w:rPr>
                <w:sz w:val="18"/>
                <w:szCs w:val="18"/>
                <w:lang w:val="en-US"/>
              </w:rPr>
              <w:t>c</w:t>
            </w:r>
            <w:r w:rsidRPr="00A855BC">
              <w:rPr>
                <w:sz w:val="18"/>
                <w:szCs w:val="18"/>
                <w:lang w:val="en-US"/>
              </w:rPr>
              <w:t>ontaminants</w:t>
            </w:r>
          </w:p>
        </w:tc>
        <w:tc>
          <w:tcPr>
            <w:tcW w:w="1401" w:type="pct"/>
            <w:tcBorders>
              <w:top w:val="single" w:sz="8" w:space="0" w:color="FFFFFF"/>
              <w:left w:val="single" w:sz="8" w:space="0" w:color="FFFFFF"/>
              <w:right w:val="single" w:sz="8" w:space="0" w:color="FFFFFF"/>
            </w:tcBorders>
            <w:shd w:val="clear" w:color="auto" w:fill="DAE2EC"/>
          </w:tcPr>
          <w:p w:rsidR="004777AC" w:rsidRPr="00A855BC" w:rsidRDefault="004777AC" w:rsidP="00E426E0">
            <w:pPr>
              <w:rPr>
                <w:sz w:val="18"/>
                <w:szCs w:val="18"/>
                <w:lang w:val="en-US"/>
              </w:rPr>
            </w:pPr>
            <w:r>
              <w:rPr>
                <w:sz w:val="18"/>
                <w:szCs w:val="18"/>
                <w:lang w:val="en-US"/>
              </w:rPr>
              <w:t>The Food Standards Agency will provide information regarding the specific requirements of sunflower oil imports into the UK.</w:t>
            </w:r>
          </w:p>
        </w:tc>
        <w:tc>
          <w:tcPr>
            <w:tcW w:w="1852" w:type="pct"/>
            <w:tcBorders>
              <w:top w:val="single" w:sz="8" w:space="0" w:color="FFFFFF"/>
              <w:left w:val="single" w:sz="8" w:space="0" w:color="FFFFFF"/>
              <w:right w:val="single" w:sz="8" w:space="0" w:color="FFFFFF"/>
            </w:tcBorders>
            <w:shd w:val="clear" w:color="auto" w:fill="DAE2EC"/>
            <w:tcMar>
              <w:top w:w="15" w:type="dxa"/>
              <w:left w:w="108" w:type="dxa"/>
              <w:bottom w:w="0" w:type="dxa"/>
              <w:right w:w="108" w:type="dxa"/>
            </w:tcMar>
            <w:hideMark/>
          </w:tcPr>
          <w:p w:rsidR="004777AC" w:rsidRDefault="004777AC" w:rsidP="00E426E0">
            <w:pPr>
              <w:rPr>
                <w:sz w:val="18"/>
                <w:szCs w:val="18"/>
                <w:lang w:val="en-US"/>
              </w:rPr>
            </w:pPr>
            <w:r>
              <w:rPr>
                <w:sz w:val="18"/>
                <w:szCs w:val="18"/>
                <w:lang w:val="en-US"/>
              </w:rPr>
              <w:t>Food Standards Agency,  www.food.gov.uk</w:t>
            </w:r>
          </w:p>
          <w:p w:rsidR="004777AC" w:rsidRDefault="004777AC" w:rsidP="00E426E0">
            <w:pPr>
              <w:rPr>
                <w:sz w:val="18"/>
                <w:szCs w:val="18"/>
                <w:lang w:val="en-US"/>
              </w:rPr>
            </w:pPr>
          </w:p>
          <w:p w:rsidR="004777AC" w:rsidRDefault="004777AC" w:rsidP="00E426E0">
            <w:pPr>
              <w:pStyle w:val="Default"/>
              <w:ind w:right="20"/>
              <w:rPr>
                <w:sz w:val="18"/>
                <w:szCs w:val="18"/>
              </w:rPr>
            </w:pPr>
            <w:r w:rsidRPr="00370336">
              <w:rPr>
                <w:sz w:val="18"/>
                <w:szCs w:val="18"/>
              </w:rPr>
              <w:t>Ru</w:t>
            </w:r>
            <w:r w:rsidRPr="00E41FCB">
              <w:rPr>
                <w:sz w:val="18"/>
                <w:szCs w:val="18"/>
              </w:rPr>
              <w:t xml:space="preserve">ral Payments Agency </w:t>
            </w:r>
            <w:r>
              <w:rPr>
                <w:sz w:val="18"/>
                <w:szCs w:val="18"/>
              </w:rPr>
              <w:t>,</w:t>
            </w:r>
          </w:p>
          <w:p w:rsidR="004777AC" w:rsidRPr="00B93E70" w:rsidRDefault="004777AC" w:rsidP="00E426E0">
            <w:pPr>
              <w:rPr>
                <w:color w:val="000000"/>
                <w:sz w:val="18"/>
                <w:szCs w:val="18"/>
              </w:rPr>
            </w:pPr>
            <w:r w:rsidRPr="00B93E70">
              <w:rPr>
                <w:color w:val="000000"/>
                <w:sz w:val="18"/>
                <w:szCs w:val="18"/>
              </w:rPr>
              <w:t>www.rpa.gov.uk</w:t>
            </w:r>
          </w:p>
          <w:p w:rsidR="004777AC" w:rsidRDefault="004777AC" w:rsidP="00E426E0">
            <w:pPr>
              <w:pStyle w:val="Default"/>
              <w:ind w:right="20"/>
              <w:rPr>
                <w:sz w:val="18"/>
                <w:szCs w:val="18"/>
                <w:lang w:val="en-ZA"/>
              </w:rPr>
            </w:pPr>
          </w:p>
          <w:p w:rsidR="004777AC" w:rsidRPr="00A855BC" w:rsidRDefault="004777AC" w:rsidP="00E426E0">
            <w:pPr>
              <w:pStyle w:val="Default"/>
              <w:ind w:right="20"/>
              <w:rPr>
                <w:sz w:val="18"/>
                <w:szCs w:val="18"/>
                <w:lang w:val="en-ZA"/>
              </w:rPr>
            </w:pPr>
            <w:r w:rsidRPr="00370336">
              <w:rPr>
                <w:sz w:val="18"/>
                <w:szCs w:val="18"/>
              </w:rPr>
              <w:t>Health and Safety Executive’s (HSE) Chemicals Regulation Directorate (CRD)</w:t>
            </w:r>
            <w:r>
              <w:rPr>
                <w:sz w:val="18"/>
                <w:szCs w:val="18"/>
              </w:rPr>
              <w:t>, www.pesticides.gov.uk</w:t>
            </w:r>
          </w:p>
        </w:tc>
      </w:tr>
    </w:tbl>
    <w:p w:rsidR="006C3289" w:rsidRPr="000D562F" w:rsidRDefault="006C3289" w:rsidP="004777AC">
      <w:pPr>
        <w:rPr>
          <w:rFonts w:cs="Arial"/>
          <w:sz w:val="20"/>
          <w:szCs w:val="20"/>
        </w:rPr>
      </w:pPr>
    </w:p>
    <w:p w:rsidR="006C3289" w:rsidRDefault="004777AC" w:rsidP="004777AC">
      <w:pPr>
        <w:rPr>
          <w:rFonts w:cs="Arial"/>
          <w:b/>
          <w:sz w:val="20"/>
          <w:szCs w:val="20"/>
        </w:rPr>
      </w:pPr>
      <w:r w:rsidRPr="004777AC">
        <w:rPr>
          <w:rFonts w:cs="Arial"/>
          <w:b/>
          <w:sz w:val="20"/>
          <w:szCs w:val="20"/>
        </w:rPr>
        <w:t>Voluntary measures:</w:t>
      </w:r>
    </w:p>
    <w:p w:rsidR="004777AC" w:rsidRPr="004777AC" w:rsidRDefault="004777AC" w:rsidP="004777AC">
      <w:pPr>
        <w:rPr>
          <w:rFonts w:cs="Arial"/>
          <w:b/>
          <w:sz w:val="20"/>
          <w:szCs w:val="20"/>
        </w:rPr>
      </w:pPr>
    </w:p>
    <w:tbl>
      <w:tblPr>
        <w:tblW w:w="5000" w:type="pct"/>
        <w:tblCellMar>
          <w:left w:w="0" w:type="dxa"/>
          <w:right w:w="0" w:type="dxa"/>
        </w:tblCellMar>
        <w:tblLook w:val="04A0"/>
      </w:tblPr>
      <w:tblGrid>
        <w:gridCol w:w="1136"/>
        <w:gridCol w:w="3479"/>
        <w:gridCol w:w="4623"/>
      </w:tblGrid>
      <w:tr w:rsidR="004777AC" w:rsidRPr="000C19DC" w:rsidTr="00E426E0">
        <w:trPr>
          <w:trHeight w:val="416"/>
        </w:trPr>
        <w:tc>
          <w:tcPr>
            <w:tcW w:w="615"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0C19DC" w:rsidRDefault="004777AC" w:rsidP="00E426E0">
            <w:pPr>
              <w:rPr>
                <w:sz w:val="18"/>
                <w:szCs w:val="18"/>
                <w:lang w:val="en-ZA"/>
              </w:rPr>
            </w:pPr>
            <w:r w:rsidRPr="000C19DC">
              <w:rPr>
                <w:b/>
                <w:bCs/>
                <w:sz w:val="18"/>
                <w:szCs w:val="18"/>
                <w:lang w:val="en-US"/>
              </w:rPr>
              <w:t>Retailer</w:t>
            </w:r>
            <w:r w:rsidRPr="000C19DC">
              <w:rPr>
                <w:b/>
                <w:bCs/>
                <w:sz w:val="18"/>
                <w:szCs w:val="18"/>
                <w:lang w:val="en-ZA"/>
              </w:rPr>
              <w:t xml:space="preserve"> </w:t>
            </w:r>
          </w:p>
        </w:tc>
        <w:tc>
          <w:tcPr>
            <w:tcW w:w="1883"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0C19DC" w:rsidRDefault="004777AC" w:rsidP="00E426E0">
            <w:pPr>
              <w:rPr>
                <w:sz w:val="18"/>
                <w:szCs w:val="18"/>
                <w:lang w:val="en-ZA"/>
              </w:rPr>
            </w:pPr>
            <w:r w:rsidRPr="000C19DC">
              <w:rPr>
                <w:b/>
                <w:bCs/>
                <w:sz w:val="18"/>
                <w:szCs w:val="18"/>
                <w:lang w:val="en-US"/>
              </w:rPr>
              <w:t>Standards</w:t>
            </w:r>
            <w:r w:rsidRPr="000C19DC">
              <w:rPr>
                <w:b/>
                <w:bCs/>
                <w:sz w:val="18"/>
                <w:szCs w:val="18"/>
                <w:lang w:val="en-ZA"/>
              </w:rPr>
              <w:t xml:space="preserve"> </w:t>
            </w:r>
          </w:p>
        </w:tc>
        <w:tc>
          <w:tcPr>
            <w:tcW w:w="2502" w:type="pct"/>
            <w:tcBorders>
              <w:top w:val="single" w:sz="8" w:space="0" w:color="FFFFFF"/>
              <w:left w:val="single" w:sz="8" w:space="0" w:color="FFFFFF"/>
              <w:bottom w:val="single" w:sz="24" w:space="0" w:color="FFFFFF"/>
              <w:right w:val="single" w:sz="8" w:space="0" w:color="FFFFFF"/>
            </w:tcBorders>
            <w:shd w:val="clear" w:color="auto" w:fill="88AACA"/>
            <w:tcMar>
              <w:top w:w="15" w:type="dxa"/>
              <w:left w:w="108" w:type="dxa"/>
              <w:bottom w:w="0" w:type="dxa"/>
              <w:right w:w="108" w:type="dxa"/>
            </w:tcMar>
            <w:hideMark/>
          </w:tcPr>
          <w:p w:rsidR="004777AC" w:rsidRPr="000C19DC" w:rsidRDefault="004777AC" w:rsidP="00E426E0">
            <w:pPr>
              <w:rPr>
                <w:sz w:val="18"/>
                <w:szCs w:val="18"/>
                <w:lang w:val="en-ZA"/>
              </w:rPr>
            </w:pPr>
            <w:r w:rsidRPr="000C19DC">
              <w:rPr>
                <w:b/>
                <w:bCs/>
                <w:sz w:val="18"/>
                <w:szCs w:val="18"/>
                <w:lang w:val="en-US"/>
              </w:rPr>
              <w:t>Sources of information:</w:t>
            </w:r>
            <w:r w:rsidRPr="000C19DC">
              <w:rPr>
                <w:b/>
                <w:bCs/>
                <w:sz w:val="18"/>
                <w:szCs w:val="18"/>
                <w:lang w:val="en-ZA"/>
              </w:rPr>
              <w:t xml:space="preserve"> </w:t>
            </w:r>
          </w:p>
        </w:tc>
      </w:tr>
      <w:tr w:rsidR="004777AC" w:rsidRPr="000C19DC" w:rsidTr="00E426E0">
        <w:trPr>
          <w:trHeight w:val="354"/>
        </w:trPr>
        <w:tc>
          <w:tcPr>
            <w:tcW w:w="615" w:type="pct"/>
            <w:vMerge w:val="restar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TESCO</w:t>
            </w:r>
            <w:r w:rsidRPr="000C19DC">
              <w:rPr>
                <w:sz w:val="18"/>
                <w:szCs w:val="18"/>
                <w:lang w:val="en-ZA"/>
              </w:rPr>
              <w:t xml:space="preserve"> </w:t>
            </w:r>
          </w:p>
        </w:tc>
        <w:tc>
          <w:tcPr>
            <w:tcW w:w="1883" w:type="pc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Supplying to TESCO</w:t>
            </w:r>
            <w:r w:rsidRPr="000C19DC">
              <w:rPr>
                <w:sz w:val="18"/>
                <w:szCs w:val="18"/>
                <w:lang w:val="en-ZA"/>
              </w:rPr>
              <w:t xml:space="preserve"> </w:t>
            </w:r>
          </w:p>
        </w:tc>
        <w:tc>
          <w:tcPr>
            <w:tcW w:w="2502" w:type="pct"/>
            <w:tcBorders>
              <w:top w:val="single" w:sz="24"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http://suppliermanual.tescois.com</w:t>
            </w:r>
            <w:r w:rsidRPr="000C19DC">
              <w:rPr>
                <w:sz w:val="18"/>
                <w:szCs w:val="18"/>
                <w:lang w:val="en-ZA"/>
              </w:rPr>
              <w:t xml:space="preserve"> </w:t>
            </w:r>
          </w:p>
          <w:p w:rsidR="004777AC" w:rsidRPr="000C19DC" w:rsidRDefault="004777AC" w:rsidP="00E426E0">
            <w:pPr>
              <w:rPr>
                <w:sz w:val="18"/>
                <w:szCs w:val="18"/>
                <w:lang w:val="en-ZA"/>
              </w:rPr>
            </w:pPr>
          </w:p>
        </w:tc>
      </w:tr>
      <w:tr w:rsidR="004777AC" w:rsidRPr="000C19DC" w:rsidTr="00E426E0">
        <w:trPr>
          <w:trHeight w:val="564"/>
        </w:trPr>
        <w:tc>
          <w:tcPr>
            <w:tcW w:w="615" w:type="pct"/>
            <w:vMerge/>
            <w:tcBorders>
              <w:top w:val="single" w:sz="24" w:space="0" w:color="FFFFFF"/>
              <w:left w:val="single" w:sz="8" w:space="0" w:color="FFFFFF"/>
              <w:bottom w:val="single" w:sz="8" w:space="0" w:color="FFFFFF"/>
              <w:right w:val="single" w:sz="8" w:space="0" w:color="FFFFFF"/>
            </w:tcBorders>
            <w:vAlign w:val="center"/>
            <w:hideMark/>
          </w:tcPr>
          <w:p w:rsidR="004777AC" w:rsidRPr="000C19DC" w:rsidRDefault="004777AC" w:rsidP="00E426E0">
            <w:pPr>
              <w:rPr>
                <w:sz w:val="18"/>
                <w:szCs w:val="18"/>
                <w:lang w:val="en-ZA"/>
              </w:rPr>
            </w:pPr>
          </w:p>
        </w:tc>
        <w:tc>
          <w:tcPr>
            <w:tcW w:w="1883"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BRC Global Standard for Food Safety Certification</w:t>
            </w:r>
            <w:r w:rsidRPr="000C19DC">
              <w:rPr>
                <w:sz w:val="18"/>
                <w:szCs w:val="18"/>
                <w:lang w:val="en-ZA"/>
              </w:rPr>
              <w:t xml:space="preserve"> </w:t>
            </w:r>
          </w:p>
        </w:tc>
        <w:tc>
          <w:tcPr>
            <w:tcW w:w="2502"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ht</w:t>
            </w:r>
            <w:r>
              <w:rPr>
                <w:sz w:val="18"/>
                <w:szCs w:val="18"/>
                <w:lang w:val="en-US"/>
              </w:rPr>
              <w:t>tp://www.brcglobalstandards.com</w:t>
            </w:r>
            <w:r w:rsidRPr="000C19DC">
              <w:rPr>
                <w:sz w:val="18"/>
                <w:szCs w:val="18"/>
                <w:lang w:val="en-ZA"/>
              </w:rPr>
              <w:t xml:space="preserve"> </w:t>
            </w:r>
          </w:p>
        </w:tc>
      </w:tr>
      <w:tr w:rsidR="004777AC" w:rsidRPr="000C19DC" w:rsidTr="00E426E0">
        <w:trPr>
          <w:trHeight w:val="516"/>
        </w:trPr>
        <w:tc>
          <w:tcPr>
            <w:tcW w:w="615" w:type="pct"/>
            <w:vMerge w:val="restar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ASDA</w:t>
            </w:r>
            <w:r w:rsidRPr="000C19DC">
              <w:rPr>
                <w:sz w:val="18"/>
                <w:szCs w:val="18"/>
                <w:lang w:val="en-ZA"/>
              </w:rPr>
              <w:t xml:space="preserve"> </w:t>
            </w:r>
          </w:p>
        </w:tc>
        <w:tc>
          <w:tcPr>
            <w:tcW w:w="1883"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Supplying to ASDA</w:t>
            </w:r>
            <w:r w:rsidRPr="000C19DC">
              <w:rPr>
                <w:sz w:val="18"/>
                <w:szCs w:val="18"/>
                <w:lang w:val="en-ZA"/>
              </w:rPr>
              <w:t xml:space="preserve"> </w:t>
            </w:r>
          </w:p>
        </w:tc>
        <w:tc>
          <w:tcPr>
            <w:tcW w:w="2502" w:type="pct"/>
            <w:tcBorders>
              <w:top w:val="single" w:sz="8" w:space="0" w:color="FFFFFF"/>
              <w:left w:val="single" w:sz="8" w:space="0" w:color="FFFFFF"/>
              <w:bottom w:val="single" w:sz="8" w:space="0" w:color="FFFFFF"/>
              <w:right w:val="single" w:sz="8" w:space="0" w:color="FFFFFF"/>
            </w:tcBorders>
            <w:shd w:val="clear" w:color="auto" w:fill="EDF1F6"/>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http://www.asdasupplier.com/</w:t>
            </w:r>
            <w:r w:rsidRPr="000C19DC">
              <w:rPr>
                <w:sz w:val="18"/>
                <w:szCs w:val="18"/>
                <w:lang w:val="en-ZA"/>
              </w:rPr>
              <w:t xml:space="preserve"> </w:t>
            </w:r>
          </w:p>
          <w:p w:rsidR="004777AC" w:rsidRPr="000C19DC" w:rsidRDefault="004777AC" w:rsidP="00E426E0">
            <w:pPr>
              <w:rPr>
                <w:sz w:val="18"/>
                <w:szCs w:val="18"/>
                <w:lang w:val="en-ZA"/>
              </w:rPr>
            </w:pPr>
          </w:p>
        </w:tc>
      </w:tr>
      <w:tr w:rsidR="004777AC" w:rsidRPr="000C19DC" w:rsidTr="00E426E0">
        <w:trPr>
          <w:trHeight w:val="382"/>
        </w:trPr>
        <w:tc>
          <w:tcPr>
            <w:tcW w:w="615" w:type="pct"/>
            <w:vMerge/>
            <w:tcBorders>
              <w:top w:val="single" w:sz="8" w:space="0" w:color="FFFFFF"/>
              <w:left w:val="single" w:sz="8" w:space="0" w:color="FFFFFF"/>
              <w:bottom w:val="single" w:sz="8" w:space="0" w:color="FFFFFF"/>
              <w:right w:val="single" w:sz="8" w:space="0" w:color="FFFFFF"/>
            </w:tcBorders>
            <w:vAlign w:val="center"/>
            <w:hideMark/>
          </w:tcPr>
          <w:p w:rsidR="004777AC" w:rsidRPr="000C19DC" w:rsidRDefault="004777AC" w:rsidP="00E426E0">
            <w:pPr>
              <w:rPr>
                <w:sz w:val="18"/>
                <w:szCs w:val="18"/>
                <w:lang w:val="en-ZA"/>
              </w:rPr>
            </w:pPr>
          </w:p>
        </w:tc>
        <w:tc>
          <w:tcPr>
            <w:tcW w:w="1883" w:type="pct"/>
            <w:tcBorders>
              <w:top w:val="single" w:sz="8"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British Retail Consortium Certification</w:t>
            </w:r>
            <w:r w:rsidRPr="000C19DC">
              <w:rPr>
                <w:sz w:val="18"/>
                <w:szCs w:val="18"/>
                <w:lang w:val="en-ZA"/>
              </w:rPr>
              <w:t xml:space="preserve"> </w:t>
            </w:r>
          </w:p>
        </w:tc>
        <w:tc>
          <w:tcPr>
            <w:tcW w:w="2502" w:type="pct"/>
            <w:tcBorders>
              <w:top w:val="single" w:sz="8" w:space="0" w:color="FFFFFF"/>
              <w:left w:val="single" w:sz="8" w:space="0" w:color="FFFFFF"/>
              <w:bottom w:val="single" w:sz="8" w:space="0" w:color="FFFFFF"/>
              <w:right w:val="single" w:sz="8" w:space="0" w:color="FFFFFF"/>
            </w:tcBorders>
            <w:shd w:val="clear" w:color="auto" w:fill="DAE2EC"/>
            <w:tcMar>
              <w:top w:w="15" w:type="dxa"/>
              <w:left w:w="108" w:type="dxa"/>
              <w:bottom w:w="0" w:type="dxa"/>
              <w:right w:w="108" w:type="dxa"/>
            </w:tcMar>
            <w:hideMark/>
          </w:tcPr>
          <w:p w:rsidR="004777AC" w:rsidRPr="000C19DC" w:rsidRDefault="004777AC" w:rsidP="00E426E0">
            <w:pPr>
              <w:rPr>
                <w:sz w:val="18"/>
                <w:szCs w:val="18"/>
                <w:lang w:val="en-ZA"/>
              </w:rPr>
            </w:pPr>
            <w:r w:rsidRPr="000C19DC">
              <w:rPr>
                <w:sz w:val="18"/>
                <w:szCs w:val="18"/>
                <w:lang w:val="en-US"/>
              </w:rPr>
              <w:t>http://www.brcglobalstandards.com/</w:t>
            </w:r>
          </w:p>
        </w:tc>
      </w:tr>
    </w:tbl>
    <w:p w:rsidR="006C3289" w:rsidRPr="000D562F" w:rsidRDefault="006C3289" w:rsidP="004777AC">
      <w:pPr>
        <w:rPr>
          <w:rFonts w:cs="Arial"/>
          <w:sz w:val="20"/>
          <w:szCs w:val="20"/>
        </w:rPr>
      </w:pPr>
    </w:p>
    <w:p w:rsidR="006C3289" w:rsidRPr="000D562F" w:rsidRDefault="006C3289">
      <w:pPr>
        <w:jc w:val="center"/>
        <w:rPr>
          <w:rFonts w:cs="Arial"/>
          <w:sz w:val="20"/>
          <w:szCs w:val="20"/>
        </w:rPr>
      </w:pPr>
    </w:p>
    <w:p w:rsidR="006C3289" w:rsidRPr="000D562F" w:rsidRDefault="006C3289">
      <w:pPr>
        <w:jc w:val="center"/>
        <w:rPr>
          <w:rFonts w:cs="Arial"/>
          <w:sz w:val="20"/>
          <w:szCs w:val="20"/>
        </w:rPr>
      </w:pPr>
    </w:p>
    <w:p w:rsidR="006C3289" w:rsidRPr="000D562F" w:rsidRDefault="006C3289">
      <w:pPr>
        <w:jc w:val="center"/>
        <w:rPr>
          <w:rFonts w:cs="Arial"/>
          <w:sz w:val="20"/>
          <w:szCs w:val="20"/>
        </w:rPr>
      </w:pPr>
    </w:p>
    <w:p w:rsidR="006C3289" w:rsidRPr="000D562F" w:rsidRDefault="006C3289">
      <w:pPr>
        <w:jc w:val="center"/>
        <w:rPr>
          <w:rFonts w:cs="Arial"/>
          <w:sz w:val="20"/>
          <w:szCs w:val="20"/>
        </w:rPr>
      </w:pPr>
    </w:p>
    <w:p w:rsidR="006C3289" w:rsidRPr="000D562F" w:rsidRDefault="00235D21">
      <w:pPr>
        <w:pStyle w:val="Heading1"/>
        <w:pBdr>
          <w:top w:val="single" w:sz="4" w:space="1" w:color="auto"/>
          <w:bottom w:val="single" w:sz="4" w:space="1" w:color="auto"/>
        </w:pBdr>
        <w:jc w:val="center"/>
        <w:rPr>
          <w:sz w:val="20"/>
          <w:szCs w:val="20"/>
        </w:rPr>
      </w:pPr>
      <w:bookmarkStart w:id="29" w:name="_Toc290627312"/>
      <w:r w:rsidRPr="000D562F">
        <w:rPr>
          <w:sz w:val="20"/>
          <w:szCs w:val="20"/>
        </w:rPr>
        <w:t>Annex</w:t>
      </w:r>
      <w:r w:rsidR="006A0167" w:rsidRPr="000D562F">
        <w:rPr>
          <w:sz w:val="20"/>
          <w:szCs w:val="20"/>
        </w:rPr>
        <w:t xml:space="preserve"> </w:t>
      </w:r>
      <w:r w:rsidR="00CA3031" w:rsidRPr="000D562F">
        <w:rPr>
          <w:sz w:val="20"/>
          <w:szCs w:val="20"/>
        </w:rPr>
        <w:t>4</w:t>
      </w:r>
      <w:r w:rsidRPr="000D562F">
        <w:rPr>
          <w:sz w:val="20"/>
          <w:szCs w:val="20"/>
        </w:rPr>
        <w:t>:  List of Sources</w:t>
      </w:r>
      <w:bookmarkEnd w:id="29"/>
    </w:p>
    <w:p w:rsidR="006C3289" w:rsidRPr="000D562F" w:rsidRDefault="006C3289">
      <w:pPr>
        <w:rPr>
          <w:rFonts w:cs="Arial"/>
          <w:sz w:val="20"/>
          <w:szCs w:val="20"/>
        </w:rPr>
      </w:pPr>
    </w:p>
    <w:p w:rsidR="004B483D" w:rsidRDefault="004B483D">
      <w:pPr>
        <w:rPr>
          <w:rFonts w:cs="Arial"/>
          <w:color w:val="4F81BD" w:themeColor="accent1"/>
          <w:sz w:val="20"/>
          <w:szCs w:val="20"/>
        </w:rPr>
      </w:pPr>
    </w:p>
    <w:p w:rsidR="004B483D" w:rsidRPr="00543C16" w:rsidRDefault="00A55A40" w:rsidP="00543C16">
      <w:pPr>
        <w:jc w:val="both"/>
        <w:rPr>
          <w:rFonts w:cs="Arial"/>
          <w:sz w:val="20"/>
          <w:szCs w:val="20"/>
        </w:rPr>
      </w:pPr>
      <w:r w:rsidRPr="00543C16">
        <w:rPr>
          <w:rFonts w:cs="Arial"/>
          <w:sz w:val="20"/>
          <w:szCs w:val="20"/>
        </w:rPr>
        <w:t>“Briefing Room: Sunflower Seed”, USA, United States Department of Agriculture: Economic Research Service, 2011, &lt;</w:t>
      </w:r>
      <w:r w:rsidRPr="00543C16">
        <w:rPr>
          <w:sz w:val="20"/>
          <w:szCs w:val="20"/>
        </w:rPr>
        <w:t xml:space="preserve"> </w:t>
      </w:r>
      <w:r w:rsidRPr="00543C16">
        <w:rPr>
          <w:rFonts w:cs="Arial"/>
          <w:sz w:val="20"/>
          <w:szCs w:val="20"/>
        </w:rPr>
        <w:t>http://www.ers.usda.gov/Briefing/SoybeansOilcrops/sunflower.htm&gt;</w:t>
      </w:r>
    </w:p>
    <w:p w:rsidR="00A55A40" w:rsidRPr="00543C16" w:rsidRDefault="00A55A40" w:rsidP="00543C16">
      <w:pPr>
        <w:jc w:val="both"/>
        <w:rPr>
          <w:rFonts w:cs="Arial"/>
          <w:sz w:val="20"/>
          <w:szCs w:val="20"/>
        </w:rPr>
      </w:pPr>
    </w:p>
    <w:p w:rsidR="004B483D" w:rsidRPr="00543C16" w:rsidRDefault="006A6F08" w:rsidP="00543C16">
      <w:pPr>
        <w:jc w:val="both"/>
        <w:rPr>
          <w:rStyle w:val="HTMLCite"/>
          <w:i w:val="0"/>
          <w:sz w:val="20"/>
          <w:szCs w:val="20"/>
        </w:rPr>
      </w:pPr>
      <w:r w:rsidRPr="00543C16">
        <w:rPr>
          <w:rFonts w:cs="Arial"/>
          <w:sz w:val="20"/>
          <w:szCs w:val="20"/>
        </w:rPr>
        <w:t>“Trademap and MacMap”. Switzerland, International Trade Centre, 2011, &lt;</w:t>
      </w:r>
      <w:r w:rsidR="00C37188" w:rsidRPr="00543C16">
        <w:rPr>
          <w:rStyle w:val="HTMLCite"/>
          <w:i w:val="0"/>
          <w:sz w:val="20"/>
          <w:szCs w:val="20"/>
        </w:rPr>
        <w:t>www.</w:t>
      </w:r>
      <w:r w:rsidR="00C37188" w:rsidRPr="00543C16">
        <w:rPr>
          <w:rStyle w:val="HTMLCite"/>
          <w:bCs/>
          <w:i w:val="0"/>
          <w:sz w:val="20"/>
          <w:szCs w:val="20"/>
        </w:rPr>
        <w:t>trademap</w:t>
      </w:r>
      <w:r w:rsidR="0097437C" w:rsidRPr="00543C16">
        <w:rPr>
          <w:rStyle w:val="HTMLCite"/>
          <w:i w:val="0"/>
          <w:sz w:val="20"/>
          <w:szCs w:val="20"/>
        </w:rPr>
        <w:t>.org</w:t>
      </w:r>
      <w:r w:rsidR="00C37188" w:rsidRPr="00543C16">
        <w:rPr>
          <w:rStyle w:val="HTMLCite"/>
          <w:sz w:val="20"/>
          <w:szCs w:val="20"/>
        </w:rPr>
        <w:t xml:space="preserve">&gt; </w:t>
      </w:r>
      <w:r w:rsidR="00C37188" w:rsidRPr="00543C16">
        <w:rPr>
          <w:rStyle w:val="HTMLCite"/>
          <w:i w:val="0"/>
          <w:sz w:val="20"/>
          <w:szCs w:val="20"/>
        </w:rPr>
        <w:t>and &lt;www.macmap.org</w:t>
      </w:r>
      <w:r w:rsidR="0097437C" w:rsidRPr="00543C16">
        <w:rPr>
          <w:rStyle w:val="HTMLCite"/>
          <w:i w:val="0"/>
          <w:sz w:val="20"/>
          <w:szCs w:val="20"/>
        </w:rPr>
        <w:t>&gt;</w:t>
      </w:r>
    </w:p>
    <w:p w:rsidR="0097437C" w:rsidRPr="00543C16" w:rsidRDefault="0097437C" w:rsidP="00543C16">
      <w:pPr>
        <w:jc w:val="both"/>
        <w:rPr>
          <w:rFonts w:cs="Arial"/>
          <w:sz w:val="20"/>
          <w:szCs w:val="20"/>
        </w:rPr>
      </w:pPr>
    </w:p>
    <w:p w:rsidR="004B483D" w:rsidRPr="00543C16" w:rsidRDefault="0097437C" w:rsidP="00543C16">
      <w:pPr>
        <w:jc w:val="both"/>
        <w:rPr>
          <w:rFonts w:cs="Arial"/>
          <w:sz w:val="20"/>
          <w:szCs w:val="20"/>
        </w:rPr>
      </w:pPr>
      <w:r w:rsidRPr="00543C16">
        <w:rPr>
          <w:rFonts w:cs="Arial"/>
          <w:sz w:val="20"/>
          <w:szCs w:val="20"/>
        </w:rPr>
        <w:t xml:space="preserve">“The </w:t>
      </w:r>
      <w:r w:rsidR="004B483D" w:rsidRPr="00543C16">
        <w:rPr>
          <w:rFonts w:cs="Arial"/>
          <w:sz w:val="20"/>
          <w:szCs w:val="20"/>
        </w:rPr>
        <w:t>World Factbook</w:t>
      </w:r>
      <w:r w:rsidRPr="00543C16">
        <w:rPr>
          <w:rFonts w:cs="Arial"/>
          <w:sz w:val="20"/>
          <w:szCs w:val="20"/>
        </w:rPr>
        <w:t>”, USA, Central Intelligence Agency of the United States, 2011, &lt;https://www.cia.gov/library/publications/the-world-factbook/geos/uk.html&gt;</w:t>
      </w:r>
    </w:p>
    <w:p w:rsidR="008B5ABD" w:rsidRPr="00543C16" w:rsidRDefault="008B5ABD" w:rsidP="00543C16">
      <w:pPr>
        <w:jc w:val="both"/>
        <w:rPr>
          <w:rStyle w:val="citation"/>
          <w:b/>
          <w:sz w:val="20"/>
          <w:szCs w:val="20"/>
        </w:rPr>
      </w:pPr>
    </w:p>
    <w:p w:rsidR="004B483D" w:rsidRPr="00543C16" w:rsidRDefault="00257806" w:rsidP="00543C16">
      <w:pPr>
        <w:jc w:val="both"/>
        <w:rPr>
          <w:rStyle w:val="printonly"/>
          <w:sz w:val="20"/>
          <w:szCs w:val="20"/>
        </w:rPr>
      </w:pPr>
      <w:hyperlink r:id="rId55" w:history="1">
        <w:r w:rsidR="008B5ABD" w:rsidRPr="00543C16">
          <w:rPr>
            <w:rStyle w:val="Hyperlink"/>
            <w:color w:val="auto"/>
            <w:sz w:val="20"/>
            <w:szCs w:val="20"/>
          </w:rPr>
          <w:t>"Britain second in world research rankings"</w:t>
        </w:r>
      </w:hyperlink>
      <w:r w:rsidR="008B5ABD" w:rsidRPr="00543C16">
        <w:rPr>
          <w:rStyle w:val="citation"/>
          <w:sz w:val="20"/>
          <w:szCs w:val="20"/>
        </w:rPr>
        <w:t>, United Kingdom, Donald MacLeod, 21 March 2006,</w:t>
      </w:r>
      <w:r w:rsidR="008B5ABD" w:rsidRPr="00543C16">
        <w:rPr>
          <w:rStyle w:val="citation"/>
          <w:i/>
          <w:iCs/>
          <w:sz w:val="20"/>
          <w:szCs w:val="20"/>
        </w:rPr>
        <w:t xml:space="preserve"> The Guardian</w:t>
      </w:r>
      <w:r w:rsidR="008B5ABD" w:rsidRPr="00543C16">
        <w:rPr>
          <w:rStyle w:val="citation"/>
          <w:sz w:val="20"/>
          <w:szCs w:val="20"/>
        </w:rPr>
        <w:t xml:space="preserve"> (London)</w:t>
      </w:r>
      <w:r w:rsidR="008B5ABD" w:rsidRPr="00543C16">
        <w:rPr>
          <w:rStyle w:val="printonly"/>
          <w:sz w:val="20"/>
          <w:szCs w:val="20"/>
        </w:rPr>
        <w:t xml:space="preserve">. </w:t>
      </w:r>
    </w:p>
    <w:p w:rsidR="008B5ABD" w:rsidRPr="00543C16" w:rsidRDefault="008B5ABD" w:rsidP="00543C16">
      <w:pPr>
        <w:jc w:val="both"/>
        <w:rPr>
          <w:rStyle w:val="printonly"/>
          <w:sz w:val="20"/>
          <w:szCs w:val="20"/>
        </w:rPr>
      </w:pPr>
    </w:p>
    <w:p w:rsidR="008B5ABD" w:rsidRPr="00543C16" w:rsidRDefault="008B5ABD" w:rsidP="00543C16">
      <w:pPr>
        <w:jc w:val="both"/>
        <w:rPr>
          <w:sz w:val="20"/>
          <w:szCs w:val="20"/>
        </w:rPr>
      </w:pPr>
      <w:r w:rsidRPr="00543C16">
        <w:rPr>
          <w:rStyle w:val="printonly"/>
          <w:sz w:val="20"/>
          <w:szCs w:val="20"/>
        </w:rPr>
        <w:t>“Euromonitor: Packaged Food – United Kingdom”, Euromonitor international, December 2010</w:t>
      </w:r>
      <w:r w:rsidR="00B8793C" w:rsidRPr="00543C16">
        <w:rPr>
          <w:rStyle w:val="printonly"/>
          <w:sz w:val="20"/>
          <w:szCs w:val="20"/>
        </w:rPr>
        <w:t>.</w:t>
      </w:r>
    </w:p>
    <w:p w:rsidR="00B8793C" w:rsidRPr="00543C16" w:rsidRDefault="00B8793C" w:rsidP="00543C16">
      <w:pPr>
        <w:jc w:val="both"/>
        <w:rPr>
          <w:b/>
          <w:bCs/>
          <w:sz w:val="20"/>
          <w:szCs w:val="20"/>
        </w:rPr>
      </w:pPr>
    </w:p>
    <w:p w:rsidR="00B8793C" w:rsidRPr="00543C16" w:rsidRDefault="00B8793C" w:rsidP="00543C16">
      <w:pPr>
        <w:tabs>
          <w:tab w:val="left" w:pos="1331"/>
        </w:tabs>
        <w:jc w:val="both"/>
        <w:rPr>
          <w:rFonts w:cs="Arial"/>
          <w:sz w:val="20"/>
          <w:szCs w:val="20"/>
          <w:lang w:val="en-ZA"/>
        </w:rPr>
      </w:pPr>
      <w:r w:rsidRPr="00543C16">
        <w:rPr>
          <w:rFonts w:cs="Arial"/>
          <w:sz w:val="20"/>
          <w:szCs w:val="20"/>
          <w:lang w:val="en-ZA"/>
        </w:rPr>
        <w:t>“Code of Practice for the transport in bulk of oils into or within the European Union “, United Kingdom, Standards  Agency – 17 March 2011</w:t>
      </w:r>
    </w:p>
    <w:p w:rsidR="00B8793C" w:rsidRPr="00543C16" w:rsidRDefault="00B8793C" w:rsidP="00543C16">
      <w:pPr>
        <w:jc w:val="both"/>
        <w:rPr>
          <w:rFonts w:cs="Arial"/>
          <w:sz w:val="20"/>
          <w:szCs w:val="20"/>
        </w:rPr>
      </w:pPr>
    </w:p>
    <w:p w:rsidR="00B8793C" w:rsidRPr="00543C16" w:rsidRDefault="00B8793C" w:rsidP="00543C16">
      <w:pPr>
        <w:tabs>
          <w:tab w:val="left" w:pos="1331"/>
        </w:tabs>
        <w:jc w:val="both"/>
        <w:rPr>
          <w:rFonts w:cs="Arial"/>
          <w:sz w:val="20"/>
          <w:szCs w:val="20"/>
          <w:lang w:val="en-ZA"/>
        </w:rPr>
      </w:pPr>
      <w:r w:rsidRPr="00543C16">
        <w:rPr>
          <w:rFonts w:cs="Arial"/>
          <w:sz w:val="20"/>
          <w:szCs w:val="20"/>
          <w:lang w:val="en-ZA"/>
        </w:rPr>
        <w:t>“ASDA Supplier Requirements Transit Packaging, Labelling and Documentation UK Suppliers Only Fifth Edition”, United Kingdom, Food Standards Agency, October 2006</w:t>
      </w:r>
      <w:r w:rsidRPr="00543C16">
        <w:rPr>
          <w:rFonts w:cs="Arial"/>
          <w:sz w:val="20"/>
          <w:szCs w:val="20"/>
        </w:rPr>
        <w:t xml:space="preserve"> </w:t>
      </w:r>
    </w:p>
    <w:p w:rsidR="00B8793C" w:rsidRPr="00543C16" w:rsidRDefault="00B8793C" w:rsidP="00543C16">
      <w:pPr>
        <w:jc w:val="both"/>
        <w:rPr>
          <w:rFonts w:cs="Arial"/>
          <w:sz w:val="20"/>
          <w:szCs w:val="20"/>
        </w:rPr>
      </w:pPr>
    </w:p>
    <w:p w:rsidR="00B8793C" w:rsidRPr="00543C16" w:rsidRDefault="00543C16" w:rsidP="00543C16">
      <w:pPr>
        <w:pStyle w:val="Heading1"/>
        <w:rPr>
          <w:b w:val="0"/>
          <w:sz w:val="20"/>
          <w:szCs w:val="20"/>
        </w:rPr>
      </w:pPr>
      <w:r w:rsidRPr="00543C16">
        <w:rPr>
          <w:b w:val="0"/>
          <w:sz w:val="20"/>
          <w:szCs w:val="20"/>
        </w:rPr>
        <w:t>“</w:t>
      </w:r>
      <w:r w:rsidR="00B8793C" w:rsidRPr="00543C16">
        <w:rPr>
          <w:b w:val="0"/>
          <w:sz w:val="20"/>
          <w:szCs w:val="20"/>
        </w:rPr>
        <w:t>Tesco share turnaround (plus an upd</w:t>
      </w:r>
      <w:r w:rsidRPr="00543C16">
        <w:rPr>
          <w:b w:val="0"/>
          <w:sz w:val="20"/>
          <w:szCs w:val="20"/>
        </w:rPr>
        <w:t xml:space="preserve">ate on grocery price inflation)”, United Kingdom, </w:t>
      </w:r>
      <w:r>
        <w:rPr>
          <w:b w:val="0"/>
          <w:sz w:val="20"/>
          <w:szCs w:val="20"/>
        </w:rPr>
        <w:t xml:space="preserve">TNS Global,   10 November 2009, </w:t>
      </w:r>
      <w:r w:rsidRPr="00543C16">
        <w:rPr>
          <w:b w:val="0"/>
          <w:sz w:val="20"/>
          <w:szCs w:val="20"/>
        </w:rPr>
        <w:t>&lt;http://www.tnsglobal.com/news/news56F59E8A99C8428989E9BE66187D5792.aspx&gt;</w:t>
      </w:r>
    </w:p>
    <w:p w:rsidR="004B483D" w:rsidRDefault="004B483D">
      <w:pPr>
        <w:rPr>
          <w:rFonts w:cs="Arial"/>
          <w:color w:val="4F81BD" w:themeColor="accent1"/>
          <w:sz w:val="20"/>
          <w:szCs w:val="20"/>
        </w:rPr>
      </w:pPr>
    </w:p>
    <w:p w:rsidR="00476A5B" w:rsidRPr="00476A5B" w:rsidRDefault="00476A5B">
      <w:pPr>
        <w:rPr>
          <w:rFonts w:cs="Arial"/>
          <w:sz w:val="20"/>
          <w:szCs w:val="20"/>
        </w:rPr>
      </w:pPr>
      <w:r w:rsidRPr="00476A5B">
        <w:rPr>
          <w:rFonts w:cs="Arial"/>
          <w:sz w:val="20"/>
          <w:szCs w:val="20"/>
        </w:rPr>
        <w:t>“Oilseeds: World Markets and Trade”, United States Department of Agriculture, Washington, January 2011</w:t>
      </w:r>
    </w:p>
    <w:p w:rsidR="001E1577" w:rsidRDefault="001E1577">
      <w:pPr>
        <w:rPr>
          <w:rFonts w:cs="Arial"/>
          <w:b/>
          <w:color w:val="4F81BD" w:themeColor="accent1"/>
          <w:sz w:val="20"/>
          <w:szCs w:val="20"/>
        </w:rPr>
      </w:pPr>
    </w:p>
    <w:p w:rsidR="001E1577" w:rsidRDefault="001E1577">
      <w:pPr>
        <w:rPr>
          <w:rFonts w:cs="Arial"/>
          <w:b/>
          <w:color w:val="4F81BD" w:themeColor="accent1"/>
          <w:sz w:val="20"/>
          <w:szCs w:val="20"/>
        </w:rPr>
      </w:pPr>
    </w:p>
    <w:p w:rsidR="001E1577" w:rsidRDefault="001C7C7C">
      <w:pPr>
        <w:rPr>
          <w:rFonts w:cs="Arial"/>
          <w:b/>
          <w:color w:val="4F81BD" w:themeColor="accent1"/>
          <w:sz w:val="20"/>
          <w:szCs w:val="20"/>
        </w:rPr>
      </w:pPr>
      <w:r>
        <w:rPr>
          <w:rFonts w:cs="Arial"/>
          <w:b/>
          <w:color w:val="4F81BD" w:themeColor="accent1"/>
          <w:sz w:val="20"/>
          <w:szCs w:val="20"/>
        </w:rPr>
        <w:t>Additional information:</w:t>
      </w:r>
    </w:p>
    <w:p w:rsidR="001E1577" w:rsidRDefault="001E1577">
      <w:pPr>
        <w:rPr>
          <w:rFonts w:cs="Arial"/>
          <w:b/>
          <w:color w:val="4F81BD" w:themeColor="accent1"/>
          <w:sz w:val="20"/>
          <w:szCs w:val="20"/>
        </w:rPr>
      </w:pPr>
    </w:p>
    <w:p w:rsidR="001C7C7C" w:rsidRDefault="001C7C7C" w:rsidP="001C7C7C">
      <w:pPr>
        <w:pStyle w:val="Heading1"/>
        <w:spacing w:line="210" w:lineRule="atLeast"/>
        <w:rPr>
          <w:color w:val="132D78"/>
          <w:spacing w:val="15"/>
          <w:sz w:val="23"/>
          <w:szCs w:val="23"/>
        </w:rPr>
      </w:pPr>
      <w:r>
        <w:rPr>
          <w:caps/>
          <w:color w:val="132D78"/>
          <w:spacing w:val="15"/>
        </w:rPr>
        <w:t xml:space="preserve">CBI:From survey to success: guidelines for exporting vegetable oils and fats to the EU </w:t>
      </w:r>
    </w:p>
    <w:p w:rsidR="001E1577" w:rsidRDefault="001E1577">
      <w:pPr>
        <w:rPr>
          <w:rFonts w:cs="Arial"/>
          <w:b/>
          <w:color w:val="4F81BD" w:themeColor="accent1"/>
          <w:sz w:val="20"/>
          <w:szCs w:val="20"/>
        </w:rPr>
      </w:pPr>
    </w:p>
    <w:p w:rsidR="001E1577" w:rsidRDefault="001C7C7C">
      <w:pPr>
        <w:rPr>
          <w:rFonts w:cs="Arial"/>
          <w:b/>
          <w:color w:val="4F81BD" w:themeColor="accent1"/>
          <w:sz w:val="20"/>
          <w:szCs w:val="20"/>
        </w:rPr>
      </w:pPr>
      <w:r w:rsidRPr="001C7C7C">
        <w:rPr>
          <w:rFonts w:cs="Arial"/>
          <w:b/>
          <w:color w:val="4F81BD" w:themeColor="accent1"/>
          <w:sz w:val="20"/>
          <w:szCs w:val="20"/>
        </w:rPr>
        <w:t>http://www.cbi.eu/marketinfo/cbi/docs/european_buyer_requirements_vegetable_oils_and_fats</w:t>
      </w:r>
    </w:p>
    <w:p w:rsidR="001C7C7C" w:rsidRDefault="001C7C7C" w:rsidP="001C7C7C">
      <w:pPr>
        <w:pStyle w:val="Heading1"/>
        <w:spacing w:line="210" w:lineRule="atLeast"/>
        <w:rPr>
          <w:color w:val="132D78"/>
          <w:spacing w:val="15"/>
          <w:sz w:val="23"/>
          <w:szCs w:val="23"/>
        </w:rPr>
      </w:pPr>
      <w:r>
        <w:rPr>
          <w:color w:val="132D78"/>
          <w:spacing w:val="15"/>
        </w:rPr>
        <w:t xml:space="preserve">SOURCING FROM EMERGING MARKETS </w:t>
      </w:r>
    </w:p>
    <w:p w:rsidR="001C7C7C" w:rsidRDefault="00257806" w:rsidP="001C7C7C">
      <w:pPr>
        <w:pStyle w:val="NormalWeb"/>
        <w:spacing w:line="210" w:lineRule="atLeast"/>
        <w:rPr>
          <w:color w:val="132D78"/>
          <w:spacing w:val="15"/>
          <w:sz w:val="17"/>
          <w:szCs w:val="17"/>
        </w:rPr>
      </w:pPr>
      <w:hyperlink r:id="rId56" w:history="1">
        <w:r w:rsidR="001C7C7C">
          <w:rPr>
            <w:rStyle w:val="Hyperlink"/>
            <w:spacing w:val="15"/>
            <w:sz w:val="17"/>
            <w:szCs w:val="17"/>
          </w:rPr>
          <w:t>CBI's company database</w:t>
        </w:r>
      </w:hyperlink>
      <w:r w:rsidR="001C7C7C">
        <w:rPr>
          <w:color w:val="132D78"/>
          <w:spacing w:val="15"/>
          <w:sz w:val="17"/>
          <w:szCs w:val="17"/>
        </w:rPr>
        <w:br/>
        <w:t xml:space="preserve">Our exporters database contains hunderds of excellent suppliers from developing countries. They were all </w:t>
      </w:r>
      <w:hyperlink r:id="rId57" w:history="1">
        <w:r w:rsidR="001C7C7C">
          <w:rPr>
            <w:rStyle w:val="Hyperlink"/>
            <w:spacing w:val="15"/>
            <w:sz w:val="17"/>
            <w:szCs w:val="17"/>
          </w:rPr>
          <w:t>audited and thoroughly prepared</w:t>
        </w:r>
      </w:hyperlink>
      <w:r w:rsidR="001C7C7C">
        <w:rPr>
          <w:color w:val="132D78"/>
          <w:spacing w:val="15"/>
          <w:sz w:val="17"/>
          <w:szCs w:val="17"/>
        </w:rPr>
        <w:t xml:space="preserve"> by CBI for doing business in Europe. </w:t>
      </w:r>
    </w:p>
    <w:p w:rsidR="001C7C7C" w:rsidRDefault="00257806" w:rsidP="001C7C7C">
      <w:pPr>
        <w:pStyle w:val="NormalWeb"/>
        <w:spacing w:line="210" w:lineRule="atLeast"/>
        <w:rPr>
          <w:color w:val="132D78"/>
          <w:spacing w:val="15"/>
          <w:sz w:val="17"/>
          <w:szCs w:val="17"/>
        </w:rPr>
      </w:pPr>
      <w:hyperlink r:id="rId58" w:history="1">
        <w:r w:rsidR="001C7C7C">
          <w:rPr>
            <w:rStyle w:val="Hyperlink"/>
            <w:spacing w:val="15"/>
            <w:sz w:val="17"/>
            <w:szCs w:val="17"/>
          </w:rPr>
          <w:t>European markets</w:t>
        </w:r>
      </w:hyperlink>
      <w:r w:rsidR="001C7C7C">
        <w:rPr>
          <w:color w:val="132D78"/>
          <w:spacing w:val="15"/>
          <w:sz w:val="17"/>
          <w:szCs w:val="17"/>
        </w:rPr>
        <w:br/>
        <w:t xml:space="preserve">Check our market pages for news, relevant hyperlinks, CBI's activities and more. We maintain pages on more than 30 markets in Europe. </w:t>
      </w:r>
    </w:p>
    <w:p w:rsidR="001C7C7C" w:rsidRDefault="001C7C7C" w:rsidP="001C7C7C">
      <w:pPr>
        <w:pStyle w:val="NormalWeb"/>
        <w:spacing w:line="210" w:lineRule="atLeast"/>
        <w:rPr>
          <w:color w:val="132D78"/>
          <w:spacing w:val="15"/>
          <w:sz w:val="17"/>
          <w:szCs w:val="17"/>
        </w:rPr>
      </w:pPr>
      <w:r>
        <w:rPr>
          <w:rStyle w:val="Strong"/>
          <w:color w:val="132D78"/>
          <w:spacing w:val="15"/>
          <w:sz w:val="17"/>
          <w:szCs w:val="17"/>
        </w:rPr>
        <w:t>Contact us</w:t>
      </w:r>
      <w:r>
        <w:rPr>
          <w:color w:val="132D78"/>
          <w:spacing w:val="15"/>
          <w:sz w:val="17"/>
          <w:szCs w:val="17"/>
        </w:rPr>
        <w:t xml:space="preserve"> </w:t>
      </w:r>
      <w:r>
        <w:rPr>
          <w:color w:val="132D78"/>
          <w:spacing w:val="15"/>
          <w:sz w:val="17"/>
          <w:szCs w:val="17"/>
        </w:rPr>
        <w:br/>
        <w:t>If you cannot find the supplier you are looking for or if you have a specific question, please feel free to contact us:</w:t>
      </w:r>
    </w:p>
    <w:p w:rsidR="001C7C7C" w:rsidRDefault="001C7C7C" w:rsidP="001C7C7C">
      <w:pPr>
        <w:pStyle w:val="NormalWeb"/>
        <w:spacing w:line="210" w:lineRule="atLeast"/>
        <w:rPr>
          <w:color w:val="132D78"/>
          <w:spacing w:val="15"/>
          <w:sz w:val="17"/>
          <w:szCs w:val="17"/>
        </w:rPr>
      </w:pPr>
      <w:r>
        <w:rPr>
          <w:color w:val="132D78"/>
          <w:spacing w:val="15"/>
          <w:sz w:val="17"/>
          <w:szCs w:val="17"/>
        </w:rPr>
        <w:lastRenderedPageBreak/>
        <w:t>Phone: +31 (0) 10 201 3421</w:t>
      </w:r>
      <w:r>
        <w:rPr>
          <w:color w:val="132D78"/>
          <w:spacing w:val="15"/>
          <w:sz w:val="17"/>
          <w:szCs w:val="17"/>
        </w:rPr>
        <w:br/>
        <w:t>Fax: +31 (0) 10 411 4081</w:t>
      </w:r>
      <w:r>
        <w:rPr>
          <w:color w:val="132D78"/>
          <w:spacing w:val="15"/>
          <w:sz w:val="17"/>
          <w:szCs w:val="17"/>
        </w:rPr>
        <w:br/>
        <w:t xml:space="preserve">Email: </w:t>
      </w:r>
      <w:hyperlink r:id="rId59" w:history="1">
        <w:r>
          <w:rPr>
            <w:rStyle w:val="Hyperlink"/>
            <w:spacing w:val="15"/>
            <w:sz w:val="17"/>
            <w:szCs w:val="17"/>
          </w:rPr>
          <w:t>marketinfo@cbi.eu</w:t>
        </w:r>
      </w:hyperlink>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p w:rsidR="008013C9" w:rsidRDefault="008013C9">
      <w:pPr>
        <w:rPr>
          <w:rFonts w:cs="Arial"/>
          <w:b/>
          <w:color w:val="4F81BD" w:themeColor="accent1"/>
          <w:sz w:val="20"/>
          <w:szCs w:val="20"/>
        </w:rPr>
      </w:pPr>
    </w:p>
    <w:sectPr w:rsidR="008013C9" w:rsidSect="005E62BB">
      <w:footerReference w:type="even" r:id="rId60"/>
      <w:footerReference w:type="first" r:id="rId61"/>
      <w:pgSz w:w="12240" w:h="15840"/>
      <w:pgMar w:top="1418" w:right="1418" w:bottom="1418" w:left="1418" w:header="720" w:footer="720" w:gutter="0"/>
      <w:pgNumType w:start="17"/>
      <w:cols w:space="720" w:equalWidth="0">
        <w:col w:w="9022" w:space="7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385" w:rsidRDefault="00202385">
      <w:r>
        <w:separator/>
      </w:r>
    </w:p>
  </w:endnote>
  <w:endnote w:type="continuationSeparator" w:id="0">
    <w:p w:rsidR="00202385" w:rsidRDefault="00202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257806">
    <w:pPr>
      <w:pStyle w:val="Footer"/>
      <w:framePr w:wrap="around" w:vAnchor="text" w:hAnchor="margin" w:xAlign="center" w:y="1"/>
      <w:rPr>
        <w:rStyle w:val="PageNumber"/>
      </w:rPr>
    </w:pPr>
    <w:r>
      <w:rPr>
        <w:rStyle w:val="PageNumber"/>
      </w:rPr>
      <w:fldChar w:fldCharType="begin"/>
    </w:r>
    <w:r w:rsidR="00677EA2">
      <w:rPr>
        <w:rStyle w:val="PageNumber"/>
      </w:rPr>
      <w:instrText xml:space="preserve">PAGE  </w:instrText>
    </w:r>
    <w:r>
      <w:rPr>
        <w:rStyle w:val="PageNumber"/>
      </w:rPr>
      <w:fldChar w:fldCharType="end"/>
    </w:r>
  </w:p>
  <w:p w:rsidR="00677EA2" w:rsidRDefault="00677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257806">
    <w:pPr>
      <w:pStyle w:val="Footer"/>
      <w:framePr w:wrap="around" w:vAnchor="text" w:hAnchor="margin" w:xAlign="center" w:y="1"/>
      <w:rPr>
        <w:rStyle w:val="PageNumber"/>
      </w:rPr>
    </w:pPr>
    <w:r>
      <w:rPr>
        <w:rStyle w:val="PageNumber"/>
      </w:rPr>
      <w:fldChar w:fldCharType="begin"/>
    </w:r>
    <w:r w:rsidR="00677EA2">
      <w:rPr>
        <w:rStyle w:val="PageNumber"/>
      </w:rPr>
      <w:instrText xml:space="preserve">PAGE  </w:instrText>
    </w:r>
    <w:r>
      <w:rPr>
        <w:rStyle w:val="PageNumber"/>
      </w:rPr>
      <w:fldChar w:fldCharType="separate"/>
    </w:r>
    <w:r w:rsidR="005B3D0C">
      <w:rPr>
        <w:rStyle w:val="PageNumber"/>
        <w:noProof/>
      </w:rPr>
      <w:t>vi</w:t>
    </w:r>
    <w:r>
      <w:rPr>
        <w:rStyle w:val="PageNumber"/>
      </w:rPr>
      <w:fldChar w:fldCharType="end"/>
    </w:r>
  </w:p>
  <w:p w:rsidR="00677EA2" w:rsidRDefault="00677EA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257806" w:rsidP="00CA3031">
    <w:pPr>
      <w:pStyle w:val="Footer"/>
      <w:framePr w:wrap="around" w:vAnchor="text" w:hAnchor="page" w:x="5912" w:y="8"/>
      <w:rPr>
        <w:rStyle w:val="PageNumber"/>
        <w:b/>
        <w:bCs/>
        <w:sz w:val="20"/>
      </w:rPr>
    </w:pPr>
    <w:r>
      <w:rPr>
        <w:rStyle w:val="PageNumber"/>
        <w:b/>
        <w:bCs/>
        <w:sz w:val="20"/>
      </w:rPr>
      <w:fldChar w:fldCharType="begin"/>
    </w:r>
    <w:r w:rsidR="00677EA2">
      <w:rPr>
        <w:rStyle w:val="PageNumber"/>
        <w:b/>
        <w:bCs/>
        <w:sz w:val="20"/>
      </w:rPr>
      <w:instrText xml:space="preserve">PAGE  </w:instrText>
    </w:r>
    <w:r>
      <w:rPr>
        <w:rStyle w:val="PageNumber"/>
        <w:b/>
        <w:bCs/>
        <w:sz w:val="20"/>
      </w:rPr>
      <w:fldChar w:fldCharType="separate"/>
    </w:r>
    <w:r w:rsidR="005B3D0C">
      <w:rPr>
        <w:rStyle w:val="PageNumber"/>
        <w:b/>
        <w:bCs/>
        <w:noProof/>
        <w:sz w:val="20"/>
      </w:rPr>
      <w:t>11</w:t>
    </w:r>
    <w:r>
      <w:rPr>
        <w:rStyle w:val="PageNumber"/>
        <w:b/>
        <w:bCs/>
        <w:sz w:val="20"/>
      </w:rPr>
      <w:fldChar w:fldCharType="end"/>
    </w:r>
  </w:p>
  <w:p w:rsidR="00677EA2" w:rsidRDefault="00677EA2">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257806" w:rsidP="00CA3031">
    <w:pPr>
      <w:pStyle w:val="Footer"/>
      <w:framePr w:wrap="around" w:vAnchor="text" w:hAnchor="page" w:x="5912" w:y="8"/>
      <w:rPr>
        <w:rStyle w:val="PageNumber"/>
        <w:b/>
        <w:bCs/>
        <w:sz w:val="20"/>
      </w:rPr>
    </w:pPr>
    <w:r>
      <w:rPr>
        <w:rStyle w:val="PageNumber"/>
        <w:b/>
        <w:bCs/>
        <w:sz w:val="20"/>
      </w:rPr>
      <w:fldChar w:fldCharType="begin"/>
    </w:r>
    <w:r w:rsidR="00677EA2">
      <w:rPr>
        <w:rStyle w:val="PageNumber"/>
        <w:b/>
        <w:bCs/>
        <w:sz w:val="20"/>
      </w:rPr>
      <w:instrText xml:space="preserve">PAGE  </w:instrText>
    </w:r>
    <w:r>
      <w:rPr>
        <w:rStyle w:val="PageNumber"/>
        <w:b/>
        <w:bCs/>
        <w:sz w:val="20"/>
      </w:rPr>
      <w:fldChar w:fldCharType="separate"/>
    </w:r>
    <w:r w:rsidR="005B3D0C">
      <w:rPr>
        <w:rStyle w:val="PageNumber"/>
        <w:b/>
        <w:bCs/>
        <w:noProof/>
        <w:sz w:val="20"/>
      </w:rPr>
      <w:t>19</w:t>
    </w:r>
    <w:r>
      <w:rPr>
        <w:rStyle w:val="PageNumber"/>
        <w:b/>
        <w:bCs/>
        <w:sz w:val="20"/>
      </w:rPr>
      <w:fldChar w:fldCharType="end"/>
    </w:r>
  </w:p>
  <w:p w:rsidR="00677EA2" w:rsidRDefault="00677EA2">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257806">
    <w:pPr>
      <w:pStyle w:val="Footer"/>
      <w:framePr w:wrap="around" w:vAnchor="text" w:hAnchor="margin" w:xAlign="center" w:y="1"/>
      <w:rPr>
        <w:rStyle w:val="PageNumber"/>
      </w:rPr>
    </w:pPr>
    <w:r>
      <w:rPr>
        <w:rStyle w:val="PageNumber"/>
      </w:rPr>
      <w:fldChar w:fldCharType="begin"/>
    </w:r>
    <w:r w:rsidR="00677EA2">
      <w:rPr>
        <w:rStyle w:val="PageNumber"/>
      </w:rPr>
      <w:instrText xml:space="preserve">PAGE  </w:instrText>
    </w:r>
    <w:r>
      <w:rPr>
        <w:rStyle w:val="PageNumber"/>
      </w:rPr>
      <w:fldChar w:fldCharType="end"/>
    </w:r>
  </w:p>
  <w:p w:rsidR="00677EA2" w:rsidRDefault="00677EA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Default="00677EA2">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385" w:rsidRDefault="00202385">
      <w:r>
        <w:separator/>
      </w:r>
    </w:p>
  </w:footnote>
  <w:footnote w:type="continuationSeparator" w:id="0">
    <w:p w:rsidR="00202385" w:rsidRDefault="00202385">
      <w:r>
        <w:continuationSeparator/>
      </w:r>
    </w:p>
  </w:footnote>
  <w:footnote w:id="1">
    <w:p w:rsidR="00677EA2" w:rsidRPr="00CD2741" w:rsidRDefault="00677EA2">
      <w:pPr>
        <w:pStyle w:val="FootnoteText"/>
        <w:rPr>
          <w:lang w:val="fr-CH"/>
        </w:rPr>
      </w:pPr>
      <w:r>
        <w:rPr>
          <w:rStyle w:val="FootnoteReference"/>
        </w:rPr>
        <w:footnoteRef/>
      </w:r>
      <w:r>
        <w:t xml:space="preserve"> </w:t>
      </w:r>
      <w:r>
        <w:rPr>
          <w:rFonts w:cs="Arial"/>
        </w:rPr>
        <w:t>HS Codes are internationally standardized names and numbers that classify traded products that are developed and maintained by the World Customs Organization (WCO).  The WCO is an independent organization of 160 countries based in Brussels, Belgium.  The HS system represents almost 98 percent of world trade, which includes 200 countries.</w:t>
      </w:r>
      <w:r w:rsidRPr="00CD2741">
        <w:t xml:space="preserve"> </w:t>
      </w:r>
      <w:hyperlink r:id="rId1" w:history="1">
        <w:r w:rsidRPr="00CD2741">
          <w:rPr>
            <w:rFonts w:cs="Arial"/>
          </w:rPr>
          <w:t>www.wcoomd.org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A2" w:rsidRPr="00B666E5" w:rsidRDefault="00677EA2" w:rsidP="00B666E5">
    <w:pPr>
      <w:pStyle w:val="Header"/>
      <w:pBdr>
        <w:bottom w:val="single" w:sz="4" w:space="1" w:color="auto"/>
      </w:pBdr>
      <w:jc w:val="right"/>
    </w:pPr>
    <w:r>
      <w:t>MARKET ANALYSIS:  SUNFLOWER OIL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74BC"/>
    <w:multiLevelType w:val="hybridMultilevel"/>
    <w:tmpl w:val="D012ED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141F8D"/>
    <w:multiLevelType w:val="hybridMultilevel"/>
    <w:tmpl w:val="2D12558C"/>
    <w:lvl w:ilvl="0" w:tplc="2F3EAFC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1F220FC"/>
    <w:multiLevelType w:val="hybridMultilevel"/>
    <w:tmpl w:val="594A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B77A3"/>
    <w:multiLevelType w:val="hybridMultilevel"/>
    <w:tmpl w:val="1316A4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D3B068D"/>
    <w:multiLevelType w:val="hybridMultilevel"/>
    <w:tmpl w:val="05B8D464"/>
    <w:lvl w:ilvl="0" w:tplc="AA2623C8">
      <w:start w:val="1"/>
      <w:numFmt w:val="bullet"/>
      <w:lvlText w:val=""/>
      <w:lvlJc w:val="left"/>
      <w:pPr>
        <w:tabs>
          <w:tab w:val="num" w:pos="720"/>
        </w:tabs>
        <w:ind w:left="720" w:hanging="360"/>
      </w:pPr>
      <w:rPr>
        <w:rFonts w:ascii="Symbol" w:hAnsi="Symbol" w:hint="default"/>
      </w:rPr>
    </w:lvl>
    <w:lvl w:ilvl="1" w:tplc="2A4C0F0A" w:tentative="1">
      <w:start w:val="1"/>
      <w:numFmt w:val="bullet"/>
      <w:lvlText w:val=""/>
      <w:lvlJc w:val="left"/>
      <w:pPr>
        <w:tabs>
          <w:tab w:val="num" w:pos="1440"/>
        </w:tabs>
        <w:ind w:left="1440" w:hanging="360"/>
      </w:pPr>
      <w:rPr>
        <w:rFonts w:ascii="Symbol" w:hAnsi="Symbol" w:hint="default"/>
      </w:rPr>
    </w:lvl>
    <w:lvl w:ilvl="2" w:tplc="53067C9C" w:tentative="1">
      <w:start w:val="1"/>
      <w:numFmt w:val="bullet"/>
      <w:lvlText w:val=""/>
      <w:lvlJc w:val="left"/>
      <w:pPr>
        <w:tabs>
          <w:tab w:val="num" w:pos="2160"/>
        </w:tabs>
        <w:ind w:left="2160" w:hanging="360"/>
      </w:pPr>
      <w:rPr>
        <w:rFonts w:ascii="Symbol" w:hAnsi="Symbol" w:hint="default"/>
      </w:rPr>
    </w:lvl>
    <w:lvl w:ilvl="3" w:tplc="C9F07F3E" w:tentative="1">
      <w:start w:val="1"/>
      <w:numFmt w:val="bullet"/>
      <w:lvlText w:val=""/>
      <w:lvlJc w:val="left"/>
      <w:pPr>
        <w:tabs>
          <w:tab w:val="num" w:pos="2880"/>
        </w:tabs>
        <w:ind w:left="2880" w:hanging="360"/>
      </w:pPr>
      <w:rPr>
        <w:rFonts w:ascii="Symbol" w:hAnsi="Symbol" w:hint="default"/>
      </w:rPr>
    </w:lvl>
    <w:lvl w:ilvl="4" w:tplc="0100D308" w:tentative="1">
      <w:start w:val="1"/>
      <w:numFmt w:val="bullet"/>
      <w:lvlText w:val=""/>
      <w:lvlJc w:val="left"/>
      <w:pPr>
        <w:tabs>
          <w:tab w:val="num" w:pos="3600"/>
        </w:tabs>
        <w:ind w:left="3600" w:hanging="360"/>
      </w:pPr>
      <w:rPr>
        <w:rFonts w:ascii="Symbol" w:hAnsi="Symbol" w:hint="default"/>
      </w:rPr>
    </w:lvl>
    <w:lvl w:ilvl="5" w:tplc="891C88DC" w:tentative="1">
      <w:start w:val="1"/>
      <w:numFmt w:val="bullet"/>
      <w:lvlText w:val=""/>
      <w:lvlJc w:val="left"/>
      <w:pPr>
        <w:tabs>
          <w:tab w:val="num" w:pos="4320"/>
        </w:tabs>
        <w:ind w:left="4320" w:hanging="360"/>
      </w:pPr>
      <w:rPr>
        <w:rFonts w:ascii="Symbol" w:hAnsi="Symbol" w:hint="default"/>
      </w:rPr>
    </w:lvl>
    <w:lvl w:ilvl="6" w:tplc="F19C93BC" w:tentative="1">
      <w:start w:val="1"/>
      <w:numFmt w:val="bullet"/>
      <w:lvlText w:val=""/>
      <w:lvlJc w:val="left"/>
      <w:pPr>
        <w:tabs>
          <w:tab w:val="num" w:pos="5040"/>
        </w:tabs>
        <w:ind w:left="5040" w:hanging="360"/>
      </w:pPr>
      <w:rPr>
        <w:rFonts w:ascii="Symbol" w:hAnsi="Symbol" w:hint="default"/>
      </w:rPr>
    </w:lvl>
    <w:lvl w:ilvl="7" w:tplc="F96C63F4" w:tentative="1">
      <w:start w:val="1"/>
      <w:numFmt w:val="bullet"/>
      <w:lvlText w:val=""/>
      <w:lvlJc w:val="left"/>
      <w:pPr>
        <w:tabs>
          <w:tab w:val="num" w:pos="5760"/>
        </w:tabs>
        <w:ind w:left="5760" w:hanging="360"/>
      </w:pPr>
      <w:rPr>
        <w:rFonts w:ascii="Symbol" w:hAnsi="Symbol" w:hint="default"/>
      </w:rPr>
    </w:lvl>
    <w:lvl w:ilvl="8" w:tplc="FCF02566" w:tentative="1">
      <w:start w:val="1"/>
      <w:numFmt w:val="bullet"/>
      <w:lvlText w:val=""/>
      <w:lvlJc w:val="left"/>
      <w:pPr>
        <w:tabs>
          <w:tab w:val="num" w:pos="6480"/>
        </w:tabs>
        <w:ind w:left="6480" w:hanging="360"/>
      </w:pPr>
      <w:rPr>
        <w:rFonts w:ascii="Symbol" w:hAnsi="Symbol" w:hint="default"/>
      </w:rPr>
    </w:lvl>
  </w:abstractNum>
  <w:abstractNum w:abstractNumId="5">
    <w:nsid w:val="257376BA"/>
    <w:multiLevelType w:val="hybridMultilevel"/>
    <w:tmpl w:val="7F38F17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2E0665EB"/>
    <w:multiLevelType w:val="hybridMultilevel"/>
    <w:tmpl w:val="511639A2"/>
    <w:lvl w:ilvl="0" w:tplc="82B265A8">
      <w:start w:val="1"/>
      <w:numFmt w:val="bullet"/>
      <w:lvlText w:val="•"/>
      <w:lvlJc w:val="left"/>
      <w:pPr>
        <w:tabs>
          <w:tab w:val="num" w:pos="720"/>
        </w:tabs>
        <w:ind w:left="720" w:hanging="360"/>
      </w:pPr>
      <w:rPr>
        <w:rFonts w:ascii="Times New Roman" w:hAnsi="Times New Roman" w:hint="default"/>
      </w:rPr>
    </w:lvl>
    <w:lvl w:ilvl="1" w:tplc="52621386" w:tentative="1">
      <w:start w:val="1"/>
      <w:numFmt w:val="bullet"/>
      <w:lvlText w:val="•"/>
      <w:lvlJc w:val="left"/>
      <w:pPr>
        <w:tabs>
          <w:tab w:val="num" w:pos="1440"/>
        </w:tabs>
        <w:ind w:left="1440" w:hanging="360"/>
      </w:pPr>
      <w:rPr>
        <w:rFonts w:ascii="Times New Roman" w:hAnsi="Times New Roman" w:hint="default"/>
      </w:rPr>
    </w:lvl>
    <w:lvl w:ilvl="2" w:tplc="4F7013DE" w:tentative="1">
      <w:start w:val="1"/>
      <w:numFmt w:val="bullet"/>
      <w:lvlText w:val="•"/>
      <w:lvlJc w:val="left"/>
      <w:pPr>
        <w:tabs>
          <w:tab w:val="num" w:pos="2160"/>
        </w:tabs>
        <w:ind w:left="2160" w:hanging="360"/>
      </w:pPr>
      <w:rPr>
        <w:rFonts w:ascii="Times New Roman" w:hAnsi="Times New Roman" w:hint="default"/>
      </w:rPr>
    </w:lvl>
    <w:lvl w:ilvl="3" w:tplc="B0A2ABB6" w:tentative="1">
      <w:start w:val="1"/>
      <w:numFmt w:val="bullet"/>
      <w:lvlText w:val="•"/>
      <w:lvlJc w:val="left"/>
      <w:pPr>
        <w:tabs>
          <w:tab w:val="num" w:pos="2880"/>
        </w:tabs>
        <w:ind w:left="2880" w:hanging="360"/>
      </w:pPr>
      <w:rPr>
        <w:rFonts w:ascii="Times New Roman" w:hAnsi="Times New Roman" w:hint="default"/>
      </w:rPr>
    </w:lvl>
    <w:lvl w:ilvl="4" w:tplc="EDC8CAF2" w:tentative="1">
      <w:start w:val="1"/>
      <w:numFmt w:val="bullet"/>
      <w:lvlText w:val="•"/>
      <w:lvlJc w:val="left"/>
      <w:pPr>
        <w:tabs>
          <w:tab w:val="num" w:pos="3600"/>
        </w:tabs>
        <w:ind w:left="3600" w:hanging="360"/>
      </w:pPr>
      <w:rPr>
        <w:rFonts w:ascii="Times New Roman" w:hAnsi="Times New Roman" w:hint="default"/>
      </w:rPr>
    </w:lvl>
    <w:lvl w:ilvl="5" w:tplc="430EF372" w:tentative="1">
      <w:start w:val="1"/>
      <w:numFmt w:val="bullet"/>
      <w:lvlText w:val="•"/>
      <w:lvlJc w:val="left"/>
      <w:pPr>
        <w:tabs>
          <w:tab w:val="num" w:pos="4320"/>
        </w:tabs>
        <w:ind w:left="4320" w:hanging="360"/>
      </w:pPr>
      <w:rPr>
        <w:rFonts w:ascii="Times New Roman" w:hAnsi="Times New Roman" w:hint="default"/>
      </w:rPr>
    </w:lvl>
    <w:lvl w:ilvl="6" w:tplc="F04E771E" w:tentative="1">
      <w:start w:val="1"/>
      <w:numFmt w:val="bullet"/>
      <w:lvlText w:val="•"/>
      <w:lvlJc w:val="left"/>
      <w:pPr>
        <w:tabs>
          <w:tab w:val="num" w:pos="5040"/>
        </w:tabs>
        <w:ind w:left="5040" w:hanging="360"/>
      </w:pPr>
      <w:rPr>
        <w:rFonts w:ascii="Times New Roman" w:hAnsi="Times New Roman" w:hint="default"/>
      </w:rPr>
    </w:lvl>
    <w:lvl w:ilvl="7" w:tplc="457E889A" w:tentative="1">
      <w:start w:val="1"/>
      <w:numFmt w:val="bullet"/>
      <w:lvlText w:val="•"/>
      <w:lvlJc w:val="left"/>
      <w:pPr>
        <w:tabs>
          <w:tab w:val="num" w:pos="5760"/>
        </w:tabs>
        <w:ind w:left="5760" w:hanging="360"/>
      </w:pPr>
      <w:rPr>
        <w:rFonts w:ascii="Times New Roman" w:hAnsi="Times New Roman" w:hint="default"/>
      </w:rPr>
    </w:lvl>
    <w:lvl w:ilvl="8" w:tplc="09B4B92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04B7910"/>
    <w:multiLevelType w:val="hybridMultilevel"/>
    <w:tmpl w:val="74A41A5A"/>
    <w:lvl w:ilvl="0" w:tplc="749A9A42">
      <w:start w:val="1"/>
      <w:numFmt w:val="bullet"/>
      <w:lvlText w:val="•"/>
      <w:lvlJc w:val="left"/>
      <w:pPr>
        <w:tabs>
          <w:tab w:val="num" w:pos="720"/>
        </w:tabs>
        <w:ind w:left="720" w:hanging="360"/>
      </w:pPr>
      <w:rPr>
        <w:rFonts w:ascii="Times New Roman" w:hAnsi="Times New Roman" w:hint="default"/>
      </w:rPr>
    </w:lvl>
    <w:lvl w:ilvl="1" w:tplc="6838A626">
      <w:start w:val="1"/>
      <w:numFmt w:val="bullet"/>
      <w:lvlText w:val="•"/>
      <w:lvlJc w:val="left"/>
      <w:pPr>
        <w:tabs>
          <w:tab w:val="num" w:pos="1440"/>
        </w:tabs>
        <w:ind w:left="1440" w:hanging="360"/>
      </w:pPr>
      <w:rPr>
        <w:rFonts w:ascii="Times New Roman" w:hAnsi="Times New Roman" w:hint="default"/>
      </w:rPr>
    </w:lvl>
    <w:lvl w:ilvl="2" w:tplc="88743C1E">
      <w:start w:val="2712"/>
      <w:numFmt w:val="bullet"/>
      <w:lvlText w:val="•"/>
      <w:lvlJc w:val="left"/>
      <w:pPr>
        <w:tabs>
          <w:tab w:val="num" w:pos="2160"/>
        </w:tabs>
        <w:ind w:left="2160" w:hanging="360"/>
      </w:pPr>
      <w:rPr>
        <w:rFonts w:ascii="Times New Roman" w:hAnsi="Times New Roman" w:hint="default"/>
      </w:rPr>
    </w:lvl>
    <w:lvl w:ilvl="3" w:tplc="A93A9380">
      <w:start w:val="1"/>
      <w:numFmt w:val="bullet"/>
      <w:lvlText w:val="•"/>
      <w:lvlJc w:val="left"/>
      <w:pPr>
        <w:tabs>
          <w:tab w:val="num" w:pos="2880"/>
        </w:tabs>
        <w:ind w:left="2880" w:hanging="360"/>
      </w:pPr>
      <w:rPr>
        <w:rFonts w:ascii="Times New Roman" w:hAnsi="Times New Roman" w:hint="default"/>
      </w:rPr>
    </w:lvl>
    <w:lvl w:ilvl="4" w:tplc="03DC9282" w:tentative="1">
      <w:start w:val="1"/>
      <w:numFmt w:val="bullet"/>
      <w:lvlText w:val="•"/>
      <w:lvlJc w:val="left"/>
      <w:pPr>
        <w:tabs>
          <w:tab w:val="num" w:pos="3600"/>
        </w:tabs>
        <w:ind w:left="3600" w:hanging="360"/>
      </w:pPr>
      <w:rPr>
        <w:rFonts w:ascii="Times New Roman" w:hAnsi="Times New Roman" w:hint="default"/>
      </w:rPr>
    </w:lvl>
    <w:lvl w:ilvl="5" w:tplc="E98A1B20" w:tentative="1">
      <w:start w:val="1"/>
      <w:numFmt w:val="bullet"/>
      <w:lvlText w:val="•"/>
      <w:lvlJc w:val="left"/>
      <w:pPr>
        <w:tabs>
          <w:tab w:val="num" w:pos="4320"/>
        </w:tabs>
        <w:ind w:left="4320" w:hanging="360"/>
      </w:pPr>
      <w:rPr>
        <w:rFonts w:ascii="Times New Roman" w:hAnsi="Times New Roman" w:hint="default"/>
      </w:rPr>
    </w:lvl>
    <w:lvl w:ilvl="6" w:tplc="F9A604B8" w:tentative="1">
      <w:start w:val="1"/>
      <w:numFmt w:val="bullet"/>
      <w:lvlText w:val="•"/>
      <w:lvlJc w:val="left"/>
      <w:pPr>
        <w:tabs>
          <w:tab w:val="num" w:pos="5040"/>
        </w:tabs>
        <w:ind w:left="5040" w:hanging="360"/>
      </w:pPr>
      <w:rPr>
        <w:rFonts w:ascii="Times New Roman" w:hAnsi="Times New Roman" w:hint="default"/>
      </w:rPr>
    </w:lvl>
    <w:lvl w:ilvl="7" w:tplc="462EC44A" w:tentative="1">
      <w:start w:val="1"/>
      <w:numFmt w:val="bullet"/>
      <w:lvlText w:val="•"/>
      <w:lvlJc w:val="left"/>
      <w:pPr>
        <w:tabs>
          <w:tab w:val="num" w:pos="5760"/>
        </w:tabs>
        <w:ind w:left="5760" w:hanging="360"/>
      </w:pPr>
      <w:rPr>
        <w:rFonts w:ascii="Times New Roman" w:hAnsi="Times New Roman" w:hint="default"/>
      </w:rPr>
    </w:lvl>
    <w:lvl w:ilvl="8" w:tplc="FF6EED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370F96"/>
    <w:multiLevelType w:val="hybridMultilevel"/>
    <w:tmpl w:val="20A6E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3AA452F"/>
    <w:multiLevelType w:val="hybridMultilevel"/>
    <w:tmpl w:val="D338C5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135973"/>
    <w:multiLevelType w:val="hybridMultilevel"/>
    <w:tmpl w:val="D4DC8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ABC08B0"/>
    <w:multiLevelType w:val="hybridMultilevel"/>
    <w:tmpl w:val="04A21D46"/>
    <w:lvl w:ilvl="0" w:tplc="04090001">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2155E44"/>
    <w:multiLevelType w:val="hybridMultilevel"/>
    <w:tmpl w:val="2BC8F78A"/>
    <w:lvl w:ilvl="0" w:tplc="EB327F22">
      <w:start w:val="1"/>
      <w:numFmt w:val="bullet"/>
      <w:lvlText w:val=""/>
      <w:lvlJc w:val="left"/>
      <w:pPr>
        <w:tabs>
          <w:tab w:val="num" w:pos="720"/>
        </w:tabs>
        <w:ind w:left="720" w:hanging="360"/>
      </w:pPr>
      <w:rPr>
        <w:rFonts w:ascii="Symbol" w:hAnsi="Symbol" w:hint="default"/>
      </w:rPr>
    </w:lvl>
    <w:lvl w:ilvl="1" w:tplc="9E42F60C" w:tentative="1">
      <w:start w:val="1"/>
      <w:numFmt w:val="bullet"/>
      <w:lvlText w:val=""/>
      <w:lvlJc w:val="left"/>
      <w:pPr>
        <w:tabs>
          <w:tab w:val="num" w:pos="1440"/>
        </w:tabs>
        <w:ind w:left="1440" w:hanging="360"/>
      </w:pPr>
      <w:rPr>
        <w:rFonts w:ascii="Symbol" w:hAnsi="Symbol" w:hint="default"/>
      </w:rPr>
    </w:lvl>
    <w:lvl w:ilvl="2" w:tplc="DD3008FA" w:tentative="1">
      <w:start w:val="1"/>
      <w:numFmt w:val="bullet"/>
      <w:lvlText w:val=""/>
      <w:lvlJc w:val="left"/>
      <w:pPr>
        <w:tabs>
          <w:tab w:val="num" w:pos="2160"/>
        </w:tabs>
        <w:ind w:left="2160" w:hanging="360"/>
      </w:pPr>
      <w:rPr>
        <w:rFonts w:ascii="Symbol" w:hAnsi="Symbol" w:hint="default"/>
      </w:rPr>
    </w:lvl>
    <w:lvl w:ilvl="3" w:tplc="9D3EBC2C" w:tentative="1">
      <w:start w:val="1"/>
      <w:numFmt w:val="bullet"/>
      <w:lvlText w:val=""/>
      <w:lvlJc w:val="left"/>
      <w:pPr>
        <w:tabs>
          <w:tab w:val="num" w:pos="2880"/>
        </w:tabs>
        <w:ind w:left="2880" w:hanging="360"/>
      </w:pPr>
      <w:rPr>
        <w:rFonts w:ascii="Symbol" w:hAnsi="Symbol" w:hint="default"/>
      </w:rPr>
    </w:lvl>
    <w:lvl w:ilvl="4" w:tplc="7D1AC380" w:tentative="1">
      <w:start w:val="1"/>
      <w:numFmt w:val="bullet"/>
      <w:lvlText w:val=""/>
      <w:lvlJc w:val="left"/>
      <w:pPr>
        <w:tabs>
          <w:tab w:val="num" w:pos="3600"/>
        </w:tabs>
        <w:ind w:left="3600" w:hanging="360"/>
      </w:pPr>
      <w:rPr>
        <w:rFonts w:ascii="Symbol" w:hAnsi="Symbol" w:hint="default"/>
      </w:rPr>
    </w:lvl>
    <w:lvl w:ilvl="5" w:tplc="BCA216D0" w:tentative="1">
      <w:start w:val="1"/>
      <w:numFmt w:val="bullet"/>
      <w:lvlText w:val=""/>
      <w:lvlJc w:val="left"/>
      <w:pPr>
        <w:tabs>
          <w:tab w:val="num" w:pos="4320"/>
        </w:tabs>
        <w:ind w:left="4320" w:hanging="360"/>
      </w:pPr>
      <w:rPr>
        <w:rFonts w:ascii="Symbol" w:hAnsi="Symbol" w:hint="default"/>
      </w:rPr>
    </w:lvl>
    <w:lvl w:ilvl="6" w:tplc="9EC6987C" w:tentative="1">
      <w:start w:val="1"/>
      <w:numFmt w:val="bullet"/>
      <w:lvlText w:val=""/>
      <w:lvlJc w:val="left"/>
      <w:pPr>
        <w:tabs>
          <w:tab w:val="num" w:pos="5040"/>
        </w:tabs>
        <w:ind w:left="5040" w:hanging="360"/>
      </w:pPr>
      <w:rPr>
        <w:rFonts w:ascii="Symbol" w:hAnsi="Symbol" w:hint="default"/>
      </w:rPr>
    </w:lvl>
    <w:lvl w:ilvl="7" w:tplc="735E4628" w:tentative="1">
      <w:start w:val="1"/>
      <w:numFmt w:val="bullet"/>
      <w:lvlText w:val=""/>
      <w:lvlJc w:val="left"/>
      <w:pPr>
        <w:tabs>
          <w:tab w:val="num" w:pos="5760"/>
        </w:tabs>
        <w:ind w:left="5760" w:hanging="360"/>
      </w:pPr>
      <w:rPr>
        <w:rFonts w:ascii="Symbol" w:hAnsi="Symbol" w:hint="default"/>
      </w:rPr>
    </w:lvl>
    <w:lvl w:ilvl="8" w:tplc="0422E5AA" w:tentative="1">
      <w:start w:val="1"/>
      <w:numFmt w:val="bullet"/>
      <w:lvlText w:val=""/>
      <w:lvlJc w:val="left"/>
      <w:pPr>
        <w:tabs>
          <w:tab w:val="num" w:pos="6480"/>
        </w:tabs>
        <w:ind w:left="6480" w:hanging="360"/>
      </w:pPr>
      <w:rPr>
        <w:rFonts w:ascii="Symbol" w:hAnsi="Symbol" w:hint="default"/>
      </w:rPr>
    </w:lvl>
  </w:abstractNum>
  <w:abstractNum w:abstractNumId="13">
    <w:nsid w:val="4A671B05"/>
    <w:multiLevelType w:val="hybridMultilevel"/>
    <w:tmpl w:val="89F864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A770B7"/>
    <w:multiLevelType w:val="hybridMultilevel"/>
    <w:tmpl w:val="4DB0A9E2"/>
    <w:lvl w:ilvl="0" w:tplc="2A427CFC">
      <w:start w:val="1"/>
      <w:numFmt w:val="decimal"/>
      <w:lvlText w:val="%1."/>
      <w:lvlJc w:val="left"/>
      <w:pPr>
        <w:ind w:left="0" w:hanging="360"/>
      </w:pPr>
      <w:rPr>
        <w:rFonts w:cs="Times New Roman" w:hint="default"/>
        <w:i/>
        <w:color w:val="000000"/>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15">
    <w:nsid w:val="51FA1EEA"/>
    <w:multiLevelType w:val="hybridMultilevel"/>
    <w:tmpl w:val="D62E4D38"/>
    <w:lvl w:ilvl="0" w:tplc="BF4EACE0">
      <w:start w:val="1"/>
      <w:numFmt w:val="bullet"/>
      <w:lvlText w:val=""/>
      <w:lvlJc w:val="left"/>
      <w:pPr>
        <w:ind w:left="720" w:hanging="360"/>
      </w:pPr>
      <w:rPr>
        <w:rFonts w:ascii="Symbol" w:hAnsi="Symbol" w:hint="default"/>
        <w:sz w:val="1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7B4A6E"/>
    <w:multiLevelType w:val="hybridMultilevel"/>
    <w:tmpl w:val="65141A56"/>
    <w:lvl w:ilvl="0" w:tplc="B846EDD0">
      <w:start w:val="1"/>
      <w:numFmt w:val="bullet"/>
      <w:lvlText w:val="•"/>
      <w:lvlJc w:val="left"/>
      <w:pPr>
        <w:tabs>
          <w:tab w:val="num" w:pos="720"/>
        </w:tabs>
        <w:ind w:left="720" w:hanging="360"/>
      </w:pPr>
      <w:rPr>
        <w:rFonts w:ascii="Times New Roman" w:hAnsi="Times New Roman" w:hint="default"/>
      </w:rPr>
    </w:lvl>
    <w:lvl w:ilvl="1" w:tplc="06E49D4C">
      <w:start w:val="1"/>
      <w:numFmt w:val="bullet"/>
      <w:lvlText w:val="•"/>
      <w:lvlJc w:val="left"/>
      <w:pPr>
        <w:tabs>
          <w:tab w:val="num" w:pos="1440"/>
        </w:tabs>
        <w:ind w:left="1440" w:hanging="360"/>
      </w:pPr>
      <w:rPr>
        <w:rFonts w:ascii="Times New Roman" w:hAnsi="Times New Roman" w:hint="default"/>
      </w:rPr>
    </w:lvl>
    <w:lvl w:ilvl="2" w:tplc="DE22749E" w:tentative="1">
      <w:start w:val="1"/>
      <w:numFmt w:val="bullet"/>
      <w:lvlText w:val="•"/>
      <w:lvlJc w:val="left"/>
      <w:pPr>
        <w:tabs>
          <w:tab w:val="num" w:pos="2160"/>
        </w:tabs>
        <w:ind w:left="2160" w:hanging="360"/>
      </w:pPr>
      <w:rPr>
        <w:rFonts w:ascii="Times New Roman" w:hAnsi="Times New Roman" w:hint="default"/>
      </w:rPr>
    </w:lvl>
    <w:lvl w:ilvl="3" w:tplc="4F2CE4A0" w:tentative="1">
      <w:start w:val="1"/>
      <w:numFmt w:val="bullet"/>
      <w:lvlText w:val="•"/>
      <w:lvlJc w:val="left"/>
      <w:pPr>
        <w:tabs>
          <w:tab w:val="num" w:pos="2880"/>
        </w:tabs>
        <w:ind w:left="2880" w:hanging="360"/>
      </w:pPr>
      <w:rPr>
        <w:rFonts w:ascii="Times New Roman" w:hAnsi="Times New Roman" w:hint="default"/>
      </w:rPr>
    </w:lvl>
    <w:lvl w:ilvl="4" w:tplc="9194560A" w:tentative="1">
      <w:start w:val="1"/>
      <w:numFmt w:val="bullet"/>
      <w:lvlText w:val="•"/>
      <w:lvlJc w:val="left"/>
      <w:pPr>
        <w:tabs>
          <w:tab w:val="num" w:pos="3600"/>
        </w:tabs>
        <w:ind w:left="3600" w:hanging="360"/>
      </w:pPr>
      <w:rPr>
        <w:rFonts w:ascii="Times New Roman" w:hAnsi="Times New Roman" w:hint="default"/>
      </w:rPr>
    </w:lvl>
    <w:lvl w:ilvl="5" w:tplc="49F2358E" w:tentative="1">
      <w:start w:val="1"/>
      <w:numFmt w:val="bullet"/>
      <w:lvlText w:val="•"/>
      <w:lvlJc w:val="left"/>
      <w:pPr>
        <w:tabs>
          <w:tab w:val="num" w:pos="4320"/>
        </w:tabs>
        <w:ind w:left="4320" w:hanging="360"/>
      </w:pPr>
      <w:rPr>
        <w:rFonts w:ascii="Times New Roman" w:hAnsi="Times New Roman" w:hint="default"/>
      </w:rPr>
    </w:lvl>
    <w:lvl w:ilvl="6" w:tplc="F0C07D6C" w:tentative="1">
      <w:start w:val="1"/>
      <w:numFmt w:val="bullet"/>
      <w:lvlText w:val="•"/>
      <w:lvlJc w:val="left"/>
      <w:pPr>
        <w:tabs>
          <w:tab w:val="num" w:pos="5040"/>
        </w:tabs>
        <w:ind w:left="5040" w:hanging="360"/>
      </w:pPr>
      <w:rPr>
        <w:rFonts w:ascii="Times New Roman" w:hAnsi="Times New Roman" w:hint="default"/>
      </w:rPr>
    </w:lvl>
    <w:lvl w:ilvl="7" w:tplc="19202EC8" w:tentative="1">
      <w:start w:val="1"/>
      <w:numFmt w:val="bullet"/>
      <w:lvlText w:val="•"/>
      <w:lvlJc w:val="left"/>
      <w:pPr>
        <w:tabs>
          <w:tab w:val="num" w:pos="5760"/>
        </w:tabs>
        <w:ind w:left="5760" w:hanging="360"/>
      </w:pPr>
      <w:rPr>
        <w:rFonts w:ascii="Times New Roman" w:hAnsi="Times New Roman" w:hint="default"/>
      </w:rPr>
    </w:lvl>
    <w:lvl w:ilvl="8" w:tplc="3A9026A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C1423F1"/>
    <w:multiLevelType w:val="hybridMultilevel"/>
    <w:tmpl w:val="11680EC0"/>
    <w:lvl w:ilvl="0" w:tplc="04090001">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E1E01E5"/>
    <w:multiLevelType w:val="hybridMultilevel"/>
    <w:tmpl w:val="C5CE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364D9"/>
    <w:multiLevelType w:val="hybridMultilevel"/>
    <w:tmpl w:val="5FB644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EC0635"/>
    <w:multiLevelType w:val="hybridMultilevel"/>
    <w:tmpl w:val="7972704C"/>
    <w:lvl w:ilvl="0" w:tplc="0809000D">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1">
    <w:nsid w:val="65826FFB"/>
    <w:multiLevelType w:val="hybridMultilevel"/>
    <w:tmpl w:val="D94CE6FE"/>
    <w:lvl w:ilvl="0" w:tplc="2F3EAFC0">
      <w:start w:val="1"/>
      <w:numFmt w:val="bullet"/>
      <w:lvlText w:val=""/>
      <w:lvlJc w:val="left"/>
      <w:pPr>
        <w:ind w:left="720" w:hanging="360"/>
      </w:pPr>
      <w:rPr>
        <w:rFonts w:ascii="Symbol" w:hAnsi="Symbol" w:hint="default"/>
      </w:rPr>
    </w:lvl>
    <w:lvl w:ilvl="1" w:tplc="CFA44EEE" w:tentative="1">
      <w:start w:val="1"/>
      <w:numFmt w:val="bullet"/>
      <w:lvlText w:val="o"/>
      <w:lvlJc w:val="left"/>
      <w:pPr>
        <w:ind w:left="1440" w:hanging="360"/>
      </w:pPr>
      <w:rPr>
        <w:rFonts w:ascii="Courier New" w:hAnsi="Courier New" w:cs="Courier New" w:hint="default"/>
      </w:rPr>
    </w:lvl>
    <w:lvl w:ilvl="2" w:tplc="9342F410" w:tentative="1">
      <w:start w:val="1"/>
      <w:numFmt w:val="bullet"/>
      <w:lvlText w:val=""/>
      <w:lvlJc w:val="left"/>
      <w:pPr>
        <w:ind w:left="2160" w:hanging="360"/>
      </w:pPr>
      <w:rPr>
        <w:rFonts w:ascii="Wingdings" w:hAnsi="Wingdings" w:hint="default"/>
      </w:rPr>
    </w:lvl>
    <w:lvl w:ilvl="3" w:tplc="8A14908C" w:tentative="1">
      <w:start w:val="1"/>
      <w:numFmt w:val="bullet"/>
      <w:lvlText w:val=""/>
      <w:lvlJc w:val="left"/>
      <w:pPr>
        <w:ind w:left="2880" w:hanging="360"/>
      </w:pPr>
      <w:rPr>
        <w:rFonts w:ascii="Symbol" w:hAnsi="Symbol" w:hint="default"/>
      </w:rPr>
    </w:lvl>
    <w:lvl w:ilvl="4" w:tplc="D3B20B90" w:tentative="1">
      <w:start w:val="1"/>
      <w:numFmt w:val="bullet"/>
      <w:lvlText w:val="o"/>
      <w:lvlJc w:val="left"/>
      <w:pPr>
        <w:ind w:left="3600" w:hanging="360"/>
      </w:pPr>
      <w:rPr>
        <w:rFonts w:ascii="Courier New" w:hAnsi="Courier New" w:cs="Courier New" w:hint="default"/>
      </w:rPr>
    </w:lvl>
    <w:lvl w:ilvl="5" w:tplc="F1E20258" w:tentative="1">
      <w:start w:val="1"/>
      <w:numFmt w:val="bullet"/>
      <w:lvlText w:val=""/>
      <w:lvlJc w:val="left"/>
      <w:pPr>
        <w:ind w:left="4320" w:hanging="360"/>
      </w:pPr>
      <w:rPr>
        <w:rFonts w:ascii="Wingdings" w:hAnsi="Wingdings" w:hint="default"/>
      </w:rPr>
    </w:lvl>
    <w:lvl w:ilvl="6" w:tplc="51B273E6" w:tentative="1">
      <w:start w:val="1"/>
      <w:numFmt w:val="bullet"/>
      <w:lvlText w:val=""/>
      <w:lvlJc w:val="left"/>
      <w:pPr>
        <w:ind w:left="5040" w:hanging="360"/>
      </w:pPr>
      <w:rPr>
        <w:rFonts w:ascii="Symbol" w:hAnsi="Symbol" w:hint="default"/>
      </w:rPr>
    </w:lvl>
    <w:lvl w:ilvl="7" w:tplc="B052A686" w:tentative="1">
      <w:start w:val="1"/>
      <w:numFmt w:val="bullet"/>
      <w:lvlText w:val="o"/>
      <w:lvlJc w:val="left"/>
      <w:pPr>
        <w:ind w:left="5760" w:hanging="360"/>
      </w:pPr>
      <w:rPr>
        <w:rFonts w:ascii="Courier New" w:hAnsi="Courier New" w:cs="Courier New" w:hint="default"/>
      </w:rPr>
    </w:lvl>
    <w:lvl w:ilvl="8" w:tplc="0D68A9A0" w:tentative="1">
      <w:start w:val="1"/>
      <w:numFmt w:val="bullet"/>
      <w:lvlText w:val=""/>
      <w:lvlJc w:val="left"/>
      <w:pPr>
        <w:ind w:left="6480" w:hanging="360"/>
      </w:pPr>
      <w:rPr>
        <w:rFonts w:ascii="Wingdings" w:hAnsi="Wingdings" w:hint="default"/>
      </w:rPr>
    </w:lvl>
  </w:abstractNum>
  <w:abstractNum w:abstractNumId="22">
    <w:nsid w:val="6EF20154"/>
    <w:multiLevelType w:val="hybridMultilevel"/>
    <w:tmpl w:val="2550E18E"/>
    <w:lvl w:ilvl="0" w:tplc="04090001">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781214FA"/>
    <w:multiLevelType w:val="hybridMultilevel"/>
    <w:tmpl w:val="EC96C160"/>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
      <w:lvlJc w:val="left"/>
      <w:pPr>
        <w:tabs>
          <w:tab w:val="num" w:pos="1440"/>
        </w:tabs>
        <w:ind w:left="1440" w:hanging="360"/>
      </w:pPr>
      <w:rPr>
        <w:rFonts w:ascii="Times New Roman" w:hAnsi="Times New Roman" w:hint="default"/>
      </w:rPr>
    </w:lvl>
    <w:lvl w:ilvl="2" w:tplc="04090005">
      <w:start w:val="271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9795FF0"/>
    <w:multiLevelType w:val="hybridMultilevel"/>
    <w:tmpl w:val="47B8C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402546"/>
    <w:multiLevelType w:val="hybridMultilevel"/>
    <w:tmpl w:val="00D2DBAE"/>
    <w:lvl w:ilvl="0" w:tplc="04090001">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1"/>
  </w:num>
  <w:num w:numId="4">
    <w:abstractNumId w:val="1"/>
  </w:num>
  <w:num w:numId="5">
    <w:abstractNumId w:val="16"/>
  </w:num>
  <w:num w:numId="6">
    <w:abstractNumId w:val="15"/>
  </w:num>
  <w:num w:numId="7">
    <w:abstractNumId w:val="9"/>
  </w:num>
  <w:num w:numId="8">
    <w:abstractNumId w:val="20"/>
  </w:num>
  <w:num w:numId="9">
    <w:abstractNumId w:val="13"/>
  </w:num>
  <w:num w:numId="10">
    <w:abstractNumId w:val="14"/>
  </w:num>
  <w:num w:numId="11">
    <w:abstractNumId w:val="4"/>
  </w:num>
  <w:num w:numId="12">
    <w:abstractNumId w:val="12"/>
  </w:num>
  <w:num w:numId="13">
    <w:abstractNumId w:val="6"/>
  </w:num>
  <w:num w:numId="14">
    <w:abstractNumId w:val="22"/>
  </w:num>
  <w:num w:numId="15">
    <w:abstractNumId w:val="11"/>
  </w:num>
  <w:num w:numId="16">
    <w:abstractNumId w:val="17"/>
  </w:num>
  <w:num w:numId="17">
    <w:abstractNumId w:val="25"/>
  </w:num>
  <w:num w:numId="18">
    <w:abstractNumId w:val="2"/>
  </w:num>
  <w:num w:numId="19">
    <w:abstractNumId w:val="24"/>
  </w:num>
  <w:num w:numId="20">
    <w:abstractNumId w:val="18"/>
  </w:num>
  <w:num w:numId="21">
    <w:abstractNumId w:val="3"/>
  </w:num>
  <w:num w:numId="22">
    <w:abstractNumId w:val="8"/>
  </w:num>
  <w:num w:numId="23">
    <w:abstractNumId w:val="5"/>
  </w:num>
  <w:num w:numId="24">
    <w:abstractNumId w:val="10"/>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2" fill="f" fillcolor="white" stroke="f">
      <v:fill color="white" on="f"/>
      <v:stroke on="f"/>
    </o:shapedefaults>
  </w:hdrShapeDefaults>
  <w:footnotePr>
    <w:footnote w:id="-1"/>
    <w:footnote w:id="0"/>
  </w:footnotePr>
  <w:endnotePr>
    <w:endnote w:id="-1"/>
    <w:endnote w:id="0"/>
  </w:endnotePr>
  <w:compat/>
  <w:rsids>
    <w:rsidRoot w:val="00047390"/>
    <w:rsid w:val="00002BEE"/>
    <w:rsid w:val="00003904"/>
    <w:rsid w:val="0000767A"/>
    <w:rsid w:val="00007B08"/>
    <w:rsid w:val="000204DC"/>
    <w:rsid w:val="00024D18"/>
    <w:rsid w:val="00030167"/>
    <w:rsid w:val="00030B6E"/>
    <w:rsid w:val="000321D7"/>
    <w:rsid w:val="00040D77"/>
    <w:rsid w:val="0004295B"/>
    <w:rsid w:val="00046459"/>
    <w:rsid w:val="00047390"/>
    <w:rsid w:val="00050B95"/>
    <w:rsid w:val="00052491"/>
    <w:rsid w:val="00060A00"/>
    <w:rsid w:val="000621CA"/>
    <w:rsid w:val="0009100E"/>
    <w:rsid w:val="00097EEF"/>
    <w:rsid w:val="000A781D"/>
    <w:rsid w:val="000B4E7C"/>
    <w:rsid w:val="000B5181"/>
    <w:rsid w:val="000C19DC"/>
    <w:rsid w:val="000C238C"/>
    <w:rsid w:val="000C25EB"/>
    <w:rsid w:val="000D1656"/>
    <w:rsid w:val="000D3FB4"/>
    <w:rsid w:val="000D562F"/>
    <w:rsid w:val="000E2CDE"/>
    <w:rsid w:val="000E61B9"/>
    <w:rsid w:val="000F4923"/>
    <w:rsid w:val="000F623B"/>
    <w:rsid w:val="000F6B93"/>
    <w:rsid w:val="0010379A"/>
    <w:rsid w:val="00116958"/>
    <w:rsid w:val="00127E50"/>
    <w:rsid w:val="00132CC5"/>
    <w:rsid w:val="00137031"/>
    <w:rsid w:val="001411A7"/>
    <w:rsid w:val="00183E1C"/>
    <w:rsid w:val="00184018"/>
    <w:rsid w:val="0018687C"/>
    <w:rsid w:val="001A6F09"/>
    <w:rsid w:val="001B585B"/>
    <w:rsid w:val="001C7C7C"/>
    <w:rsid w:val="001D537A"/>
    <w:rsid w:val="001D688E"/>
    <w:rsid w:val="001E1577"/>
    <w:rsid w:val="001E584D"/>
    <w:rsid w:val="001E5FB1"/>
    <w:rsid w:val="001F1FD9"/>
    <w:rsid w:val="001F69FC"/>
    <w:rsid w:val="00202385"/>
    <w:rsid w:val="00213EAC"/>
    <w:rsid w:val="00214609"/>
    <w:rsid w:val="00222029"/>
    <w:rsid w:val="00225DAC"/>
    <w:rsid w:val="00235D21"/>
    <w:rsid w:val="00240C65"/>
    <w:rsid w:val="00242559"/>
    <w:rsid w:val="0025679A"/>
    <w:rsid w:val="00257806"/>
    <w:rsid w:val="00266683"/>
    <w:rsid w:val="0027015D"/>
    <w:rsid w:val="00280303"/>
    <w:rsid w:val="00282167"/>
    <w:rsid w:val="002A1649"/>
    <w:rsid w:val="002A6664"/>
    <w:rsid w:val="002B020E"/>
    <w:rsid w:val="002C19BC"/>
    <w:rsid w:val="002D053D"/>
    <w:rsid w:val="002D2942"/>
    <w:rsid w:val="002D7B56"/>
    <w:rsid w:val="002E0027"/>
    <w:rsid w:val="002E0688"/>
    <w:rsid w:val="002E248D"/>
    <w:rsid w:val="002F18BD"/>
    <w:rsid w:val="003166A2"/>
    <w:rsid w:val="00316CAB"/>
    <w:rsid w:val="00317A7B"/>
    <w:rsid w:val="00321A25"/>
    <w:rsid w:val="00323547"/>
    <w:rsid w:val="0032483F"/>
    <w:rsid w:val="00337594"/>
    <w:rsid w:val="00340183"/>
    <w:rsid w:val="0034286B"/>
    <w:rsid w:val="003460C2"/>
    <w:rsid w:val="00362715"/>
    <w:rsid w:val="00370336"/>
    <w:rsid w:val="00382D6A"/>
    <w:rsid w:val="00387443"/>
    <w:rsid w:val="00394884"/>
    <w:rsid w:val="003A31A0"/>
    <w:rsid w:val="003A595E"/>
    <w:rsid w:val="003A689F"/>
    <w:rsid w:val="003B5133"/>
    <w:rsid w:val="003C0FF7"/>
    <w:rsid w:val="003C1285"/>
    <w:rsid w:val="003D653B"/>
    <w:rsid w:val="003D7CED"/>
    <w:rsid w:val="003E0003"/>
    <w:rsid w:val="003E01A2"/>
    <w:rsid w:val="003E1C2B"/>
    <w:rsid w:val="003E3C7A"/>
    <w:rsid w:val="003E417F"/>
    <w:rsid w:val="003E5317"/>
    <w:rsid w:val="003E6E39"/>
    <w:rsid w:val="003F0330"/>
    <w:rsid w:val="003F7042"/>
    <w:rsid w:val="00401D92"/>
    <w:rsid w:val="00404BDC"/>
    <w:rsid w:val="00407B05"/>
    <w:rsid w:val="004160B1"/>
    <w:rsid w:val="004200F0"/>
    <w:rsid w:val="00420846"/>
    <w:rsid w:val="00424E4F"/>
    <w:rsid w:val="00436F51"/>
    <w:rsid w:val="004422E1"/>
    <w:rsid w:val="00442A56"/>
    <w:rsid w:val="0045210D"/>
    <w:rsid w:val="004533FD"/>
    <w:rsid w:val="004634C4"/>
    <w:rsid w:val="00466101"/>
    <w:rsid w:val="00476A5B"/>
    <w:rsid w:val="004777AC"/>
    <w:rsid w:val="00481D16"/>
    <w:rsid w:val="00482DD8"/>
    <w:rsid w:val="00490F49"/>
    <w:rsid w:val="004A72F5"/>
    <w:rsid w:val="004B225F"/>
    <w:rsid w:val="004B483D"/>
    <w:rsid w:val="004C0035"/>
    <w:rsid w:val="004D08CD"/>
    <w:rsid w:val="004E2B9F"/>
    <w:rsid w:val="004E3301"/>
    <w:rsid w:val="004E5E7E"/>
    <w:rsid w:val="004F0CF0"/>
    <w:rsid w:val="005132D2"/>
    <w:rsid w:val="005159BD"/>
    <w:rsid w:val="00515B37"/>
    <w:rsid w:val="00530B3B"/>
    <w:rsid w:val="00537D7B"/>
    <w:rsid w:val="00541458"/>
    <w:rsid w:val="00543C16"/>
    <w:rsid w:val="00564EE1"/>
    <w:rsid w:val="005774DE"/>
    <w:rsid w:val="00584648"/>
    <w:rsid w:val="00587C7D"/>
    <w:rsid w:val="005A019F"/>
    <w:rsid w:val="005A3DA2"/>
    <w:rsid w:val="005A63B9"/>
    <w:rsid w:val="005B2A78"/>
    <w:rsid w:val="005B3D0C"/>
    <w:rsid w:val="005E3E9F"/>
    <w:rsid w:val="005E62BB"/>
    <w:rsid w:val="00601485"/>
    <w:rsid w:val="00601854"/>
    <w:rsid w:val="00620400"/>
    <w:rsid w:val="00664618"/>
    <w:rsid w:val="006715C4"/>
    <w:rsid w:val="00677EA2"/>
    <w:rsid w:val="006812FA"/>
    <w:rsid w:val="0068545C"/>
    <w:rsid w:val="006A0167"/>
    <w:rsid w:val="006A5039"/>
    <w:rsid w:val="006A6F08"/>
    <w:rsid w:val="006A7E3E"/>
    <w:rsid w:val="006B01EE"/>
    <w:rsid w:val="006B0EA8"/>
    <w:rsid w:val="006B266F"/>
    <w:rsid w:val="006B4A11"/>
    <w:rsid w:val="006C07B3"/>
    <w:rsid w:val="006C3289"/>
    <w:rsid w:val="006D232F"/>
    <w:rsid w:val="006E2467"/>
    <w:rsid w:val="006E7396"/>
    <w:rsid w:val="006F6546"/>
    <w:rsid w:val="007027D3"/>
    <w:rsid w:val="007212F5"/>
    <w:rsid w:val="00734035"/>
    <w:rsid w:val="007343DA"/>
    <w:rsid w:val="00742554"/>
    <w:rsid w:val="007440B7"/>
    <w:rsid w:val="007440E8"/>
    <w:rsid w:val="00756496"/>
    <w:rsid w:val="00762259"/>
    <w:rsid w:val="007644B9"/>
    <w:rsid w:val="00764F07"/>
    <w:rsid w:val="0076555A"/>
    <w:rsid w:val="00776CF7"/>
    <w:rsid w:val="00783127"/>
    <w:rsid w:val="00783C95"/>
    <w:rsid w:val="00787580"/>
    <w:rsid w:val="00790E9C"/>
    <w:rsid w:val="00793CE2"/>
    <w:rsid w:val="00795D6F"/>
    <w:rsid w:val="007A4866"/>
    <w:rsid w:val="007A4C75"/>
    <w:rsid w:val="007B6B21"/>
    <w:rsid w:val="007C0B30"/>
    <w:rsid w:val="007C26AD"/>
    <w:rsid w:val="007C305F"/>
    <w:rsid w:val="007C4006"/>
    <w:rsid w:val="007D6991"/>
    <w:rsid w:val="007F36C7"/>
    <w:rsid w:val="008013C9"/>
    <w:rsid w:val="008120D1"/>
    <w:rsid w:val="0082335F"/>
    <w:rsid w:val="008250EB"/>
    <w:rsid w:val="00825EE4"/>
    <w:rsid w:val="00832984"/>
    <w:rsid w:val="0083605D"/>
    <w:rsid w:val="00840E23"/>
    <w:rsid w:val="008522A9"/>
    <w:rsid w:val="0086088C"/>
    <w:rsid w:val="00862AA8"/>
    <w:rsid w:val="00872022"/>
    <w:rsid w:val="00884E93"/>
    <w:rsid w:val="00886A0A"/>
    <w:rsid w:val="00894523"/>
    <w:rsid w:val="00896622"/>
    <w:rsid w:val="00896937"/>
    <w:rsid w:val="00896963"/>
    <w:rsid w:val="008A0842"/>
    <w:rsid w:val="008A6F0B"/>
    <w:rsid w:val="008B3354"/>
    <w:rsid w:val="008B351B"/>
    <w:rsid w:val="008B593E"/>
    <w:rsid w:val="008B5ABD"/>
    <w:rsid w:val="008B6D89"/>
    <w:rsid w:val="008B7ACD"/>
    <w:rsid w:val="008C1108"/>
    <w:rsid w:val="008C5CB4"/>
    <w:rsid w:val="008D546A"/>
    <w:rsid w:val="008E03E6"/>
    <w:rsid w:val="0094274D"/>
    <w:rsid w:val="0097437C"/>
    <w:rsid w:val="00982B76"/>
    <w:rsid w:val="00982CA4"/>
    <w:rsid w:val="0098302B"/>
    <w:rsid w:val="0098405C"/>
    <w:rsid w:val="009849BF"/>
    <w:rsid w:val="0099154F"/>
    <w:rsid w:val="00997550"/>
    <w:rsid w:val="009A2F9B"/>
    <w:rsid w:val="009C7E9B"/>
    <w:rsid w:val="009D27AE"/>
    <w:rsid w:val="009D4501"/>
    <w:rsid w:val="009E234A"/>
    <w:rsid w:val="009E32B7"/>
    <w:rsid w:val="009F3081"/>
    <w:rsid w:val="009F36C5"/>
    <w:rsid w:val="00A13B27"/>
    <w:rsid w:val="00A20A69"/>
    <w:rsid w:val="00A26B4E"/>
    <w:rsid w:val="00A306F7"/>
    <w:rsid w:val="00A35BCB"/>
    <w:rsid w:val="00A55A40"/>
    <w:rsid w:val="00A6642C"/>
    <w:rsid w:val="00A672E7"/>
    <w:rsid w:val="00A7338F"/>
    <w:rsid w:val="00A855BC"/>
    <w:rsid w:val="00A91B93"/>
    <w:rsid w:val="00A96571"/>
    <w:rsid w:val="00AD6486"/>
    <w:rsid w:val="00AE295A"/>
    <w:rsid w:val="00AE4B5F"/>
    <w:rsid w:val="00AE616E"/>
    <w:rsid w:val="00AE6859"/>
    <w:rsid w:val="00AF5E9E"/>
    <w:rsid w:val="00AF7188"/>
    <w:rsid w:val="00B036C3"/>
    <w:rsid w:val="00B12002"/>
    <w:rsid w:val="00B23FDD"/>
    <w:rsid w:val="00B30A4F"/>
    <w:rsid w:val="00B3196D"/>
    <w:rsid w:val="00B5199B"/>
    <w:rsid w:val="00B611DD"/>
    <w:rsid w:val="00B6220C"/>
    <w:rsid w:val="00B65BD5"/>
    <w:rsid w:val="00B665DC"/>
    <w:rsid w:val="00B666E5"/>
    <w:rsid w:val="00B83968"/>
    <w:rsid w:val="00B8793C"/>
    <w:rsid w:val="00B90C18"/>
    <w:rsid w:val="00B93E70"/>
    <w:rsid w:val="00B96670"/>
    <w:rsid w:val="00BA1684"/>
    <w:rsid w:val="00BE132C"/>
    <w:rsid w:val="00BE1A74"/>
    <w:rsid w:val="00BE3395"/>
    <w:rsid w:val="00BF0E3B"/>
    <w:rsid w:val="00C03740"/>
    <w:rsid w:val="00C04E0D"/>
    <w:rsid w:val="00C07441"/>
    <w:rsid w:val="00C15804"/>
    <w:rsid w:val="00C21F10"/>
    <w:rsid w:val="00C33691"/>
    <w:rsid w:val="00C35DDF"/>
    <w:rsid w:val="00C37188"/>
    <w:rsid w:val="00C57CBE"/>
    <w:rsid w:val="00C65C51"/>
    <w:rsid w:val="00C73E04"/>
    <w:rsid w:val="00C75DA4"/>
    <w:rsid w:val="00C761D3"/>
    <w:rsid w:val="00C861AF"/>
    <w:rsid w:val="00C920A1"/>
    <w:rsid w:val="00CA3031"/>
    <w:rsid w:val="00CA3714"/>
    <w:rsid w:val="00CA3D11"/>
    <w:rsid w:val="00CC250F"/>
    <w:rsid w:val="00CC4A1B"/>
    <w:rsid w:val="00CD2741"/>
    <w:rsid w:val="00CE0467"/>
    <w:rsid w:val="00CE0E51"/>
    <w:rsid w:val="00CE25A6"/>
    <w:rsid w:val="00CE60C0"/>
    <w:rsid w:val="00CF0F30"/>
    <w:rsid w:val="00D01DBB"/>
    <w:rsid w:val="00D0542D"/>
    <w:rsid w:val="00D125D7"/>
    <w:rsid w:val="00D15A0B"/>
    <w:rsid w:val="00D34164"/>
    <w:rsid w:val="00D35BD8"/>
    <w:rsid w:val="00D514EE"/>
    <w:rsid w:val="00D5248C"/>
    <w:rsid w:val="00D768C4"/>
    <w:rsid w:val="00D83285"/>
    <w:rsid w:val="00D920C1"/>
    <w:rsid w:val="00D96EB1"/>
    <w:rsid w:val="00DA4E26"/>
    <w:rsid w:val="00DB174D"/>
    <w:rsid w:val="00DB2083"/>
    <w:rsid w:val="00DB61EE"/>
    <w:rsid w:val="00DC1120"/>
    <w:rsid w:val="00DD1C61"/>
    <w:rsid w:val="00DE73E1"/>
    <w:rsid w:val="00DF589D"/>
    <w:rsid w:val="00E37369"/>
    <w:rsid w:val="00E41E5A"/>
    <w:rsid w:val="00E41FCB"/>
    <w:rsid w:val="00E426E0"/>
    <w:rsid w:val="00E52D8A"/>
    <w:rsid w:val="00E76BF4"/>
    <w:rsid w:val="00E81738"/>
    <w:rsid w:val="00E82F08"/>
    <w:rsid w:val="00E90E2B"/>
    <w:rsid w:val="00E92464"/>
    <w:rsid w:val="00EA4DB5"/>
    <w:rsid w:val="00EB12D8"/>
    <w:rsid w:val="00EB76AB"/>
    <w:rsid w:val="00EC4062"/>
    <w:rsid w:val="00ED0310"/>
    <w:rsid w:val="00ED20B8"/>
    <w:rsid w:val="00EE01DA"/>
    <w:rsid w:val="00F01467"/>
    <w:rsid w:val="00F04C12"/>
    <w:rsid w:val="00F0609B"/>
    <w:rsid w:val="00F12A33"/>
    <w:rsid w:val="00F21850"/>
    <w:rsid w:val="00F57AA2"/>
    <w:rsid w:val="00F647CC"/>
    <w:rsid w:val="00F704FD"/>
    <w:rsid w:val="00F73620"/>
    <w:rsid w:val="00F73C6C"/>
    <w:rsid w:val="00F8061F"/>
    <w:rsid w:val="00F90ED8"/>
    <w:rsid w:val="00FD533B"/>
    <w:rsid w:val="00FE7683"/>
    <w:rsid w:val="00FF3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9"/>
    <w:rPr>
      <w:rFonts w:ascii="Arial" w:hAnsi="Arial"/>
      <w:sz w:val="24"/>
      <w:szCs w:val="24"/>
      <w:lang w:eastAsia="en-US"/>
    </w:rPr>
  </w:style>
  <w:style w:type="paragraph" w:styleId="Heading1">
    <w:name w:val="heading 1"/>
    <w:basedOn w:val="Normal"/>
    <w:next w:val="Normal"/>
    <w:qFormat/>
    <w:rsid w:val="006C3289"/>
    <w:pPr>
      <w:keepNext/>
      <w:outlineLvl w:val="0"/>
    </w:pPr>
    <w:rPr>
      <w:rFonts w:cs="Arial"/>
      <w:b/>
      <w:bCs/>
      <w:sz w:val="32"/>
    </w:rPr>
  </w:style>
  <w:style w:type="paragraph" w:styleId="Heading2">
    <w:name w:val="heading 2"/>
    <w:basedOn w:val="Normal"/>
    <w:next w:val="Normal"/>
    <w:qFormat/>
    <w:rsid w:val="006C3289"/>
    <w:pPr>
      <w:keepNext/>
      <w:spacing w:before="240" w:after="60"/>
      <w:outlineLvl w:val="1"/>
    </w:pPr>
    <w:rPr>
      <w:rFonts w:cs="Arial"/>
      <w:b/>
      <w:bCs/>
      <w:i/>
      <w:iCs/>
      <w:sz w:val="28"/>
      <w:szCs w:val="28"/>
    </w:rPr>
  </w:style>
  <w:style w:type="paragraph" w:styleId="Heading3">
    <w:name w:val="heading 3"/>
    <w:basedOn w:val="Normal"/>
    <w:next w:val="Normal"/>
    <w:qFormat/>
    <w:rsid w:val="006C3289"/>
    <w:pPr>
      <w:keepNext/>
      <w:jc w:val="center"/>
      <w:outlineLvl w:val="2"/>
    </w:pPr>
    <w:rPr>
      <w:rFonts w:cs="Arial"/>
      <w:b/>
      <w:sz w:val="18"/>
    </w:rPr>
  </w:style>
  <w:style w:type="paragraph" w:styleId="Heading4">
    <w:name w:val="heading 4"/>
    <w:basedOn w:val="Normal"/>
    <w:link w:val="Heading4Char"/>
    <w:qFormat/>
    <w:rsid w:val="006C3289"/>
    <w:pPr>
      <w:spacing w:before="180" w:after="75"/>
      <w:outlineLvl w:val="3"/>
    </w:pPr>
    <w:rPr>
      <w:rFonts w:cs="Arial"/>
      <w:b/>
      <w:bCs/>
      <w:sz w:val="21"/>
      <w:szCs w:val="21"/>
    </w:rPr>
  </w:style>
  <w:style w:type="paragraph" w:styleId="Heading5">
    <w:name w:val="heading 5"/>
    <w:basedOn w:val="Normal"/>
    <w:next w:val="Normal"/>
    <w:qFormat/>
    <w:rsid w:val="006C3289"/>
    <w:pPr>
      <w:keepNext/>
      <w:jc w:val="center"/>
      <w:outlineLvl w:val="4"/>
    </w:pPr>
    <w:rPr>
      <w:rFonts w:cs="Arial"/>
      <w:b/>
      <w:bCs/>
    </w:rPr>
  </w:style>
  <w:style w:type="paragraph" w:styleId="Heading6">
    <w:name w:val="heading 6"/>
    <w:basedOn w:val="Normal"/>
    <w:next w:val="Normal"/>
    <w:qFormat/>
    <w:rsid w:val="006C3289"/>
    <w:pPr>
      <w:keepNext/>
      <w:ind w:left="360"/>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3289"/>
    <w:pPr>
      <w:spacing w:before="100" w:beforeAutospacing="1" w:after="100" w:afterAutospacing="1"/>
    </w:pPr>
    <w:rPr>
      <w:rFonts w:cs="Arial"/>
    </w:rPr>
  </w:style>
  <w:style w:type="character" w:styleId="Hyperlink">
    <w:name w:val="Hyperlink"/>
    <w:basedOn w:val="DefaultParagraphFont"/>
    <w:uiPriority w:val="99"/>
    <w:rsid w:val="006C3289"/>
    <w:rPr>
      <w:strike w:val="0"/>
      <w:dstrike w:val="0"/>
      <w:color w:val="00209F"/>
      <w:u w:val="none"/>
      <w:effect w:val="none"/>
    </w:rPr>
  </w:style>
  <w:style w:type="character" w:styleId="FollowedHyperlink">
    <w:name w:val="FollowedHyperlink"/>
    <w:basedOn w:val="DefaultParagraphFont"/>
    <w:semiHidden/>
    <w:rsid w:val="006C3289"/>
    <w:rPr>
      <w:color w:val="800080"/>
      <w:u w:val="single"/>
    </w:rPr>
  </w:style>
  <w:style w:type="paragraph" w:styleId="FootnoteText">
    <w:name w:val="footnote text"/>
    <w:basedOn w:val="Normal"/>
    <w:semiHidden/>
    <w:rsid w:val="006C3289"/>
    <w:rPr>
      <w:sz w:val="20"/>
      <w:szCs w:val="20"/>
    </w:rPr>
  </w:style>
  <w:style w:type="character" w:styleId="FootnoteReference">
    <w:name w:val="footnote reference"/>
    <w:basedOn w:val="DefaultParagraphFont"/>
    <w:semiHidden/>
    <w:rsid w:val="006C3289"/>
    <w:rPr>
      <w:vertAlign w:val="superscript"/>
    </w:rPr>
  </w:style>
  <w:style w:type="character" w:styleId="Strong">
    <w:name w:val="Strong"/>
    <w:basedOn w:val="DefaultParagraphFont"/>
    <w:uiPriority w:val="22"/>
    <w:qFormat/>
    <w:rsid w:val="006C3289"/>
    <w:rPr>
      <w:b/>
      <w:bCs/>
    </w:rPr>
  </w:style>
  <w:style w:type="paragraph" w:styleId="Footer">
    <w:name w:val="footer"/>
    <w:basedOn w:val="Normal"/>
    <w:semiHidden/>
    <w:rsid w:val="006C3289"/>
    <w:pPr>
      <w:tabs>
        <w:tab w:val="center" w:pos="4320"/>
        <w:tab w:val="right" w:pos="8640"/>
      </w:tabs>
    </w:pPr>
  </w:style>
  <w:style w:type="character" w:styleId="PageNumber">
    <w:name w:val="page number"/>
    <w:basedOn w:val="DefaultParagraphFont"/>
    <w:semiHidden/>
    <w:rsid w:val="006C3289"/>
  </w:style>
  <w:style w:type="paragraph" w:styleId="Header">
    <w:name w:val="header"/>
    <w:basedOn w:val="Normal"/>
    <w:semiHidden/>
    <w:rsid w:val="006C3289"/>
    <w:pPr>
      <w:tabs>
        <w:tab w:val="center" w:pos="4320"/>
        <w:tab w:val="right" w:pos="8640"/>
      </w:tabs>
    </w:pPr>
  </w:style>
  <w:style w:type="paragraph" w:styleId="DocumentMap">
    <w:name w:val="Document Map"/>
    <w:basedOn w:val="Normal"/>
    <w:semiHidden/>
    <w:rsid w:val="006C3289"/>
    <w:pPr>
      <w:shd w:val="clear" w:color="auto" w:fill="000080"/>
    </w:pPr>
    <w:rPr>
      <w:rFonts w:ascii="Tahoma" w:hAnsi="Tahoma" w:cs="Tahoma"/>
    </w:rPr>
  </w:style>
  <w:style w:type="paragraph" w:styleId="BodyText">
    <w:name w:val="Body Text"/>
    <w:basedOn w:val="Normal"/>
    <w:semiHidden/>
    <w:rsid w:val="006C3289"/>
    <w:pPr>
      <w:jc w:val="both"/>
    </w:pPr>
    <w:rPr>
      <w:rFonts w:cs="Arial"/>
    </w:rPr>
  </w:style>
  <w:style w:type="paragraph" w:styleId="BodyText2">
    <w:name w:val="Body Text 2"/>
    <w:basedOn w:val="Normal"/>
    <w:semiHidden/>
    <w:rsid w:val="006C3289"/>
    <w:rPr>
      <w:rFonts w:cs="Arial"/>
      <w:color w:val="000000"/>
      <w:szCs w:val="20"/>
    </w:rPr>
  </w:style>
  <w:style w:type="paragraph" w:styleId="TOC1">
    <w:name w:val="toc 1"/>
    <w:basedOn w:val="Normal"/>
    <w:next w:val="Normal"/>
    <w:autoRedefine/>
    <w:uiPriority w:val="39"/>
    <w:rsid w:val="006C3289"/>
    <w:pPr>
      <w:tabs>
        <w:tab w:val="right" w:leader="dot" w:pos="8990"/>
      </w:tabs>
      <w:spacing w:line="360" w:lineRule="auto"/>
    </w:pPr>
    <w:rPr>
      <w:rFonts w:cs="Arial"/>
      <w:b/>
      <w:sz w:val="30"/>
    </w:rPr>
  </w:style>
  <w:style w:type="paragraph" w:styleId="TOC2">
    <w:name w:val="toc 2"/>
    <w:basedOn w:val="Normal"/>
    <w:next w:val="Normal"/>
    <w:autoRedefine/>
    <w:uiPriority w:val="39"/>
    <w:rsid w:val="006C3289"/>
    <w:pPr>
      <w:ind w:left="240"/>
    </w:pPr>
  </w:style>
  <w:style w:type="paragraph" w:styleId="TOC3">
    <w:name w:val="toc 3"/>
    <w:basedOn w:val="Normal"/>
    <w:next w:val="Normal"/>
    <w:autoRedefine/>
    <w:semiHidden/>
    <w:rsid w:val="006C3289"/>
    <w:pPr>
      <w:ind w:left="480"/>
    </w:pPr>
  </w:style>
  <w:style w:type="paragraph" w:styleId="TOC4">
    <w:name w:val="toc 4"/>
    <w:basedOn w:val="Normal"/>
    <w:next w:val="Normal"/>
    <w:autoRedefine/>
    <w:semiHidden/>
    <w:rsid w:val="006C3289"/>
    <w:pPr>
      <w:ind w:left="720"/>
    </w:pPr>
  </w:style>
  <w:style w:type="paragraph" w:styleId="TOC5">
    <w:name w:val="toc 5"/>
    <w:basedOn w:val="Normal"/>
    <w:next w:val="Normal"/>
    <w:autoRedefine/>
    <w:semiHidden/>
    <w:rsid w:val="006C3289"/>
    <w:pPr>
      <w:ind w:left="960"/>
    </w:pPr>
  </w:style>
  <w:style w:type="paragraph" w:styleId="TOC6">
    <w:name w:val="toc 6"/>
    <w:basedOn w:val="Normal"/>
    <w:next w:val="Normal"/>
    <w:autoRedefine/>
    <w:semiHidden/>
    <w:rsid w:val="006C3289"/>
    <w:pPr>
      <w:ind w:left="1200"/>
    </w:pPr>
  </w:style>
  <w:style w:type="paragraph" w:styleId="TOC7">
    <w:name w:val="toc 7"/>
    <w:basedOn w:val="Normal"/>
    <w:next w:val="Normal"/>
    <w:autoRedefine/>
    <w:semiHidden/>
    <w:rsid w:val="006C3289"/>
    <w:pPr>
      <w:ind w:left="1440"/>
    </w:pPr>
  </w:style>
  <w:style w:type="paragraph" w:styleId="TOC8">
    <w:name w:val="toc 8"/>
    <w:basedOn w:val="Normal"/>
    <w:next w:val="Normal"/>
    <w:autoRedefine/>
    <w:semiHidden/>
    <w:rsid w:val="006C3289"/>
    <w:pPr>
      <w:ind w:left="1680"/>
    </w:pPr>
  </w:style>
  <w:style w:type="paragraph" w:styleId="TOC9">
    <w:name w:val="toc 9"/>
    <w:basedOn w:val="Normal"/>
    <w:next w:val="Normal"/>
    <w:autoRedefine/>
    <w:semiHidden/>
    <w:rsid w:val="006C3289"/>
    <w:pPr>
      <w:ind w:left="1920"/>
    </w:pPr>
  </w:style>
  <w:style w:type="paragraph" w:styleId="BalloonText">
    <w:name w:val="Balloon Text"/>
    <w:basedOn w:val="Normal"/>
    <w:link w:val="BalloonTextChar"/>
    <w:uiPriority w:val="99"/>
    <w:semiHidden/>
    <w:unhideWhenUsed/>
    <w:rsid w:val="00050B95"/>
    <w:rPr>
      <w:rFonts w:ascii="Tahoma" w:hAnsi="Tahoma" w:cs="Tahoma"/>
      <w:sz w:val="16"/>
      <w:szCs w:val="16"/>
    </w:rPr>
  </w:style>
  <w:style w:type="character" w:customStyle="1" w:styleId="BalloonTextChar">
    <w:name w:val="Balloon Text Char"/>
    <w:basedOn w:val="DefaultParagraphFont"/>
    <w:link w:val="BalloonText"/>
    <w:uiPriority w:val="99"/>
    <w:semiHidden/>
    <w:rsid w:val="00050B95"/>
    <w:rPr>
      <w:rFonts w:ascii="Tahoma" w:hAnsi="Tahoma" w:cs="Tahoma"/>
      <w:sz w:val="16"/>
      <w:szCs w:val="16"/>
      <w:lang w:eastAsia="en-US"/>
    </w:rPr>
  </w:style>
  <w:style w:type="paragraph" w:customStyle="1" w:styleId="Booktitle">
    <w:name w:val="Book title"/>
    <w:next w:val="BodyText"/>
    <w:link w:val="BooktitleChar"/>
    <w:qFormat/>
    <w:rsid w:val="00050B95"/>
    <w:pPr>
      <w:spacing w:before="1000" w:after="600"/>
      <w:ind w:left="567" w:right="2268"/>
      <w:contextualSpacing/>
    </w:pPr>
    <w:rPr>
      <w:rFonts w:ascii="Arial" w:hAnsi="Arial"/>
      <w:bCs/>
      <w:caps/>
      <w:sz w:val="48"/>
      <w:szCs w:val="48"/>
      <w:lang w:eastAsia="en-US"/>
    </w:rPr>
  </w:style>
  <w:style w:type="character" w:customStyle="1" w:styleId="BooktitleChar">
    <w:name w:val="Book title Char"/>
    <w:basedOn w:val="DefaultParagraphFont"/>
    <w:link w:val="Booktitle"/>
    <w:rsid w:val="00050B95"/>
    <w:rPr>
      <w:rFonts w:ascii="Arial" w:hAnsi="Arial"/>
      <w:bCs/>
      <w:caps/>
      <w:sz w:val="48"/>
      <w:szCs w:val="48"/>
      <w:lang w:eastAsia="en-US"/>
    </w:rPr>
  </w:style>
  <w:style w:type="paragraph" w:customStyle="1" w:styleId="Prelimsheading">
    <w:name w:val="Prelims heading"/>
    <w:next w:val="BodyText"/>
    <w:link w:val="PrelimsheadingChar"/>
    <w:qFormat/>
    <w:rsid w:val="00B666E5"/>
    <w:pPr>
      <w:keepNext/>
      <w:spacing w:after="400"/>
      <w:contextualSpacing/>
      <w:jc w:val="center"/>
    </w:pPr>
    <w:rPr>
      <w:rFonts w:ascii="Arial" w:eastAsiaTheme="minorEastAsia" w:hAnsi="Arial" w:cs="Arial"/>
      <w:b/>
      <w:kern w:val="30"/>
      <w:sz w:val="28"/>
      <w:szCs w:val="32"/>
      <w:lang w:eastAsia="en-US"/>
    </w:rPr>
  </w:style>
  <w:style w:type="character" w:customStyle="1" w:styleId="PrelimsheadingChar">
    <w:name w:val="Prelims heading Char"/>
    <w:basedOn w:val="DefaultParagraphFont"/>
    <w:link w:val="Prelimsheading"/>
    <w:rsid w:val="00B666E5"/>
    <w:rPr>
      <w:rFonts w:ascii="Arial" w:eastAsiaTheme="minorEastAsia" w:hAnsi="Arial" w:cs="Arial"/>
      <w:b/>
      <w:kern w:val="30"/>
      <w:sz w:val="28"/>
      <w:szCs w:val="32"/>
      <w:lang w:eastAsia="en-US"/>
    </w:rPr>
  </w:style>
  <w:style w:type="paragraph" w:customStyle="1" w:styleId="Default">
    <w:name w:val="Default"/>
    <w:rsid w:val="007C4006"/>
    <w:pPr>
      <w:autoSpaceDE w:val="0"/>
      <w:autoSpaceDN w:val="0"/>
      <w:adjustRightInd w:val="0"/>
    </w:pPr>
    <w:rPr>
      <w:rFonts w:ascii="Arial" w:eastAsia="Calibri" w:hAnsi="Arial" w:cs="Arial"/>
      <w:color w:val="000000"/>
      <w:sz w:val="24"/>
      <w:szCs w:val="24"/>
    </w:rPr>
  </w:style>
  <w:style w:type="paragraph" w:customStyle="1" w:styleId="Figuresbodytext">
    <w:name w:val="Figures body text"/>
    <w:next w:val="BodyText"/>
    <w:link w:val="FiguresbodytextChar"/>
    <w:qFormat/>
    <w:rsid w:val="0083605D"/>
    <w:pPr>
      <w:spacing w:after="80"/>
      <w:jc w:val="both"/>
    </w:pPr>
    <w:rPr>
      <w:rFonts w:ascii="Arial" w:hAnsi="Arial"/>
      <w:sz w:val="18"/>
      <w:lang w:eastAsia="en-US"/>
    </w:rPr>
  </w:style>
  <w:style w:type="character" w:customStyle="1" w:styleId="FiguresbodytextChar">
    <w:name w:val="Figures body text Char"/>
    <w:basedOn w:val="DefaultParagraphFont"/>
    <w:link w:val="Figuresbodytext"/>
    <w:rsid w:val="0083605D"/>
    <w:rPr>
      <w:rFonts w:ascii="Arial" w:hAnsi="Arial"/>
      <w:sz w:val="18"/>
      <w:lang w:eastAsia="en-US"/>
    </w:rPr>
  </w:style>
  <w:style w:type="paragraph" w:customStyle="1" w:styleId="FigureNoandtitle">
    <w:name w:val="Figure No. and title"/>
    <w:basedOn w:val="Normal"/>
    <w:link w:val="FigureNoandtitleChar"/>
    <w:qFormat/>
    <w:rsid w:val="0083605D"/>
    <w:pPr>
      <w:keepNext/>
      <w:tabs>
        <w:tab w:val="left" w:pos="1134"/>
      </w:tabs>
      <w:spacing w:before="240" w:after="120"/>
      <w:ind w:left="1134" w:hanging="1134"/>
    </w:pPr>
    <w:rPr>
      <w:rFonts w:cs="Arial"/>
      <w:b/>
      <w:bCs/>
      <w:kern w:val="36"/>
      <w:sz w:val="22"/>
      <w:szCs w:val="32"/>
    </w:rPr>
  </w:style>
  <w:style w:type="character" w:customStyle="1" w:styleId="FigureNoandtitleChar">
    <w:name w:val="Figure No. and title Char"/>
    <w:basedOn w:val="DefaultParagraphFont"/>
    <w:link w:val="FigureNoandtitle"/>
    <w:rsid w:val="0083605D"/>
    <w:rPr>
      <w:rFonts w:ascii="Arial" w:hAnsi="Arial" w:cs="Arial"/>
      <w:b/>
      <w:bCs/>
      <w:kern w:val="36"/>
      <w:sz w:val="22"/>
      <w:szCs w:val="32"/>
      <w:lang w:eastAsia="en-US"/>
    </w:rPr>
  </w:style>
  <w:style w:type="table" w:styleId="TableGrid">
    <w:name w:val="Table Grid"/>
    <w:basedOn w:val="TableNormal"/>
    <w:uiPriority w:val="59"/>
    <w:rsid w:val="00836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autoRedefine/>
    <w:rsid w:val="004422E1"/>
    <w:pPr>
      <w:keepNext/>
      <w:spacing w:before="40" w:after="40"/>
      <w:jc w:val="both"/>
    </w:pPr>
    <w:rPr>
      <w:rFonts w:cs="Arial"/>
      <w:i/>
      <w:iCs/>
      <w:color w:val="000000"/>
      <w:position w:val="10"/>
      <w:sz w:val="20"/>
      <w:szCs w:val="20"/>
    </w:rPr>
  </w:style>
  <w:style w:type="paragraph" w:styleId="ListParagraph">
    <w:name w:val="List Paragraph"/>
    <w:basedOn w:val="Normal"/>
    <w:uiPriority w:val="34"/>
    <w:qFormat/>
    <w:rsid w:val="000F6B93"/>
    <w:pPr>
      <w:ind w:left="720"/>
      <w:contextualSpacing/>
    </w:pPr>
  </w:style>
  <w:style w:type="paragraph" w:styleId="NoSpacing">
    <w:name w:val="No Spacing"/>
    <w:uiPriority w:val="1"/>
    <w:qFormat/>
    <w:rsid w:val="00C65C51"/>
    <w:rPr>
      <w:rFonts w:ascii="Arial" w:hAnsi="Arial"/>
      <w:sz w:val="24"/>
      <w:szCs w:val="24"/>
      <w:lang w:eastAsia="en-US"/>
    </w:rPr>
  </w:style>
  <w:style w:type="character" w:customStyle="1" w:styleId="Heading4Char">
    <w:name w:val="Heading 4 Char"/>
    <w:basedOn w:val="DefaultParagraphFont"/>
    <w:link w:val="Heading4"/>
    <w:rsid w:val="000621CA"/>
    <w:rPr>
      <w:rFonts w:ascii="Arial" w:hAnsi="Arial" w:cs="Arial"/>
      <w:b/>
      <w:bCs/>
      <w:sz w:val="21"/>
      <w:szCs w:val="21"/>
      <w:lang w:eastAsia="en-US"/>
    </w:rPr>
  </w:style>
  <w:style w:type="table" w:customStyle="1" w:styleId="MediumShading1-Accent11">
    <w:name w:val="Medium Shading 1 - Accent 11"/>
    <w:basedOn w:val="TableNormal"/>
    <w:uiPriority w:val="63"/>
    <w:rsid w:val="00D96EB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ntents">
    <w:name w:val="Table Contents"/>
    <w:basedOn w:val="Normal"/>
    <w:rsid w:val="0009100E"/>
    <w:pPr>
      <w:widowControl w:val="0"/>
      <w:suppressLineNumbers/>
      <w:suppressAutoHyphens/>
    </w:pPr>
    <w:rPr>
      <w:rFonts w:ascii="Times New Roman" w:eastAsia="Lucida Sans Unicode" w:hAnsi="Times New Roman"/>
      <w:kern w:val="1"/>
    </w:rPr>
  </w:style>
  <w:style w:type="character" w:customStyle="1" w:styleId="citation">
    <w:name w:val="citation"/>
    <w:basedOn w:val="DefaultParagraphFont"/>
    <w:rsid w:val="003460C2"/>
  </w:style>
  <w:style w:type="character" w:customStyle="1" w:styleId="printonly">
    <w:name w:val="printonly"/>
    <w:basedOn w:val="DefaultParagraphFont"/>
    <w:rsid w:val="003460C2"/>
  </w:style>
  <w:style w:type="character" w:customStyle="1" w:styleId="reference-accessdate">
    <w:name w:val="reference-accessdate"/>
    <w:basedOn w:val="DefaultParagraphFont"/>
    <w:rsid w:val="003460C2"/>
  </w:style>
  <w:style w:type="character" w:customStyle="1" w:styleId="ehbold">
    <w:name w:val="eh_bold"/>
    <w:basedOn w:val="DefaultParagraphFont"/>
    <w:rsid w:val="004200F0"/>
  </w:style>
  <w:style w:type="paragraph" w:customStyle="1" w:styleId="ehindented2">
    <w:name w:val="eh_indented2"/>
    <w:basedOn w:val="Normal"/>
    <w:rsid w:val="004200F0"/>
    <w:pPr>
      <w:spacing w:before="100" w:beforeAutospacing="1" w:after="100" w:afterAutospacing="1"/>
    </w:pPr>
    <w:rPr>
      <w:rFonts w:ascii="Times New Roman" w:hAnsi="Times New Roman"/>
      <w:lang w:val="en-ZA" w:eastAsia="en-ZA"/>
    </w:rPr>
  </w:style>
  <w:style w:type="paragraph" w:customStyle="1" w:styleId="ehindented1">
    <w:name w:val="eh_indented1"/>
    <w:basedOn w:val="Normal"/>
    <w:rsid w:val="00C15804"/>
    <w:pPr>
      <w:spacing w:before="100" w:beforeAutospacing="1" w:after="100" w:afterAutospacing="1"/>
    </w:pPr>
    <w:rPr>
      <w:rFonts w:ascii="Times New Roman" w:hAnsi="Times New Roman"/>
      <w:lang w:val="en-ZA" w:eastAsia="en-ZA"/>
    </w:rPr>
  </w:style>
  <w:style w:type="character" w:styleId="HTMLCite">
    <w:name w:val="HTML Cite"/>
    <w:basedOn w:val="DefaultParagraphFont"/>
    <w:uiPriority w:val="99"/>
    <w:semiHidden/>
    <w:unhideWhenUsed/>
    <w:rsid w:val="00B93E70"/>
    <w:rPr>
      <w:i/>
      <w:iCs/>
    </w:rPr>
  </w:style>
  <w:style w:type="character" w:styleId="Emphasis">
    <w:name w:val="Emphasis"/>
    <w:basedOn w:val="DefaultParagraphFont"/>
    <w:uiPriority w:val="20"/>
    <w:qFormat/>
    <w:rsid w:val="004C0035"/>
    <w:rPr>
      <w:i/>
      <w:iCs/>
    </w:rPr>
  </w:style>
</w:styles>
</file>

<file path=word/webSettings.xml><?xml version="1.0" encoding="utf-8"?>
<w:webSettings xmlns:r="http://schemas.openxmlformats.org/officeDocument/2006/relationships" xmlns:w="http://schemas.openxmlformats.org/wordprocessingml/2006/main">
  <w:divs>
    <w:div w:id="28341315">
      <w:bodyDiv w:val="1"/>
      <w:marLeft w:val="0"/>
      <w:marRight w:val="0"/>
      <w:marTop w:val="0"/>
      <w:marBottom w:val="0"/>
      <w:divBdr>
        <w:top w:val="none" w:sz="0" w:space="0" w:color="auto"/>
        <w:left w:val="none" w:sz="0" w:space="0" w:color="auto"/>
        <w:bottom w:val="none" w:sz="0" w:space="0" w:color="auto"/>
        <w:right w:val="none" w:sz="0" w:space="0" w:color="auto"/>
      </w:divBdr>
      <w:divsChild>
        <w:div w:id="1002971312">
          <w:marLeft w:val="-5775"/>
          <w:marRight w:val="0"/>
          <w:marTop w:val="0"/>
          <w:marBottom w:val="0"/>
          <w:divBdr>
            <w:top w:val="none" w:sz="0" w:space="0" w:color="auto"/>
            <w:left w:val="none" w:sz="0" w:space="0" w:color="auto"/>
            <w:bottom w:val="none" w:sz="0" w:space="0" w:color="auto"/>
            <w:right w:val="none" w:sz="0" w:space="0" w:color="auto"/>
          </w:divBdr>
          <w:divsChild>
            <w:div w:id="671182190">
              <w:marLeft w:val="0"/>
              <w:marRight w:val="0"/>
              <w:marTop w:val="0"/>
              <w:marBottom w:val="0"/>
              <w:divBdr>
                <w:top w:val="none" w:sz="0" w:space="0" w:color="auto"/>
                <w:left w:val="none" w:sz="0" w:space="0" w:color="auto"/>
                <w:bottom w:val="none" w:sz="0" w:space="0" w:color="auto"/>
                <w:right w:val="none" w:sz="0" w:space="0" w:color="auto"/>
              </w:divBdr>
              <w:divsChild>
                <w:div w:id="9618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5877">
      <w:bodyDiv w:val="1"/>
      <w:marLeft w:val="0"/>
      <w:marRight w:val="0"/>
      <w:marTop w:val="0"/>
      <w:marBottom w:val="0"/>
      <w:divBdr>
        <w:top w:val="none" w:sz="0" w:space="0" w:color="auto"/>
        <w:left w:val="none" w:sz="0" w:space="0" w:color="auto"/>
        <w:bottom w:val="none" w:sz="0" w:space="0" w:color="auto"/>
        <w:right w:val="none" w:sz="0" w:space="0" w:color="auto"/>
      </w:divBdr>
    </w:div>
    <w:div w:id="140006408">
      <w:bodyDiv w:val="1"/>
      <w:marLeft w:val="0"/>
      <w:marRight w:val="0"/>
      <w:marTop w:val="0"/>
      <w:marBottom w:val="0"/>
      <w:divBdr>
        <w:top w:val="none" w:sz="0" w:space="0" w:color="auto"/>
        <w:left w:val="none" w:sz="0" w:space="0" w:color="auto"/>
        <w:bottom w:val="none" w:sz="0" w:space="0" w:color="auto"/>
        <w:right w:val="none" w:sz="0" w:space="0" w:color="auto"/>
      </w:divBdr>
      <w:divsChild>
        <w:div w:id="597713030">
          <w:marLeft w:val="547"/>
          <w:marRight w:val="0"/>
          <w:marTop w:val="115"/>
          <w:marBottom w:val="0"/>
          <w:divBdr>
            <w:top w:val="none" w:sz="0" w:space="0" w:color="auto"/>
            <w:left w:val="none" w:sz="0" w:space="0" w:color="auto"/>
            <w:bottom w:val="none" w:sz="0" w:space="0" w:color="auto"/>
            <w:right w:val="none" w:sz="0" w:space="0" w:color="auto"/>
          </w:divBdr>
        </w:div>
      </w:divsChild>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52780740">
      <w:bodyDiv w:val="1"/>
      <w:marLeft w:val="0"/>
      <w:marRight w:val="0"/>
      <w:marTop w:val="0"/>
      <w:marBottom w:val="0"/>
      <w:divBdr>
        <w:top w:val="none" w:sz="0" w:space="0" w:color="auto"/>
        <w:left w:val="none" w:sz="0" w:space="0" w:color="auto"/>
        <w:bottom w:val="none" w:sz="0" w:space="0" w:color="auto"/>
        <w:right w:val="none" w:sz="0" w:space="0" w:color="auto"/>
      </w:divBdr>
    </w:div>
    <w:div w:id="278337563">
      <w:bodyDiv w:val="1"/>
      <w:marLeft w:val="0"/>
      <w:marRight w:val="0"/>
      <w:marTop w:val="0"/>
      <w:marBottom w:val="0"/>
      <w:divBdr>
        <w:top w:val="none" w:sz="0" w:space="0" w:color="auto"/>
        <w:left w:val="none" w:sz="0" w:space="0" w:color="auto"/>
        <w:bottom w:val="none" w:sz="0" w:space="0" w:color="auto"/>
        <w:right w:val="none" w:sz="0" w:space="0" w:color="auto"/>
      </w:divBdr>
      <w:divsChild>
        <w:div w:id="250700512">
          <w:marLeft w:val="1166"/>
          <w:marRight w:val="0"/>
          <w:marTop w:val="77"/>
          <w:marBottom w:val="0"/>
          <w:divBdr>
            <w:top w:val="none" w:sz="0" w:space="0" w:color="auto"/>
            <w:left w:val="none" w:sz="0" w:space="0" w:color="auto"/>
            <w:bottom w:val="none" w:sz="0" w:space="0" w:color="auto"/>
            <w:right w:val="none" w:sz="0" w:space="0" w:color="auto"/>
          </w:divBdr>
        </w:div>
        <w:div w:id="1592474216">
          <w:marLeft w:val="1166"/>
          <w:marRight w:val="0"/>
          <w:marTop w:val="77"/>
          <w:marBottom w:val="0"/>
          <w:divBdr>
            <w:top w:val="none" w:sz="0" w:space="0" w:color="auto"/>
            <w:left w:val="none" w:sz="0" w:space="0" w:color="auto"/>
            <w:bottom w:val="none" w:sz="0" w:space="0" w:color="auto"/>
            <w:right w:val="none" w:sz="0" w:space="0" w:color="auto"/>
          </w:divBdr>
        </w:div>
        <w:div w:id="1059134420">
          <w:marLeft w:val="1166"/>
          <w:marRight w:val="0"/>
          <w:marTop w:val="77"/>
          <w:marBottom w:val="0"/>
          <w:divBdr>
            <w:top w:val="none" w:sz="0" w:space="0" w:color="auto"/>
            <w:left w:val="none" w:sz="0" w:space="0" w:color="auto"/>
            <w:bottom w:val="none" w:sz="0" w:space="0" w:color="auto"/>
            <w:right w:val="none" w:sz="0" w:space="0" w:color="auto"/>
          </w:divBdr>
        </w:div>
        <w:div w:id="716471762">
          <w:marLeft w:val="1166"/>
          <w:marRight w:val="0"/>
          <w:marTop w:val="77"/>
          <w:marBottom w:val="0"/>
          <w:divBdr>
            <w:top w:val="none" w:sz="0" w:space="0" w:color="auto"/>
            <w:left w:val="none" w:sz="0" w:space="0" w:color="auto"/>
            <w:bottom w:val="none" w:sz="0" w:space="0" w:color="auto"/>
            <w:right w:val="none" w:sz="0" w:space="0" w:color="auto"/>
          </w:divBdr>
        </w:div>
      </w:divsChild>
    </w:div>
    <w:div w:id="358314709">
      <w:bodyDiv w:val="1"/>
      <w:marLeft w:val="0"/>
      <w:marRight w:val="0"/>
      <w:marTop w:val="0"/>
      <w:marBottom w:val="0"/>
      <w:divBdr>
        <w:top w:val="none" w:sz="0" w:space="0" w:color="auto"/>
        <w:left w:val="none" w:sz="0" w:space="0" w:color="auto"/>
        <w:bottom w:val="none" w:sz="0" w:space="0" w:color="auto"/>
        <w:right w:val="none" w:sz="0" w:space="0" w:color="auto"/>
      </w:divBdr>
    </w:div>
    <w:div w:id="389112875">
      <w:bodyDiv w:val="1"/>
      <w:marLeft w:val="0"/>
      <w:marRight w:val="0"/>
      <w:marTop w:val="0"/>
      <w:marBottom w:val="0"/>
      <w:divBdr>
        <w:top w:val="none" w:sz="0" w:space="0" w:color="auto"/>
        <w:left w:val="none" w:sz="0" w:space="0" w:color="auto"/>
        <w:bottom w:val="none" w:sz="0" w:space="0" w:color="auto"/>
        <w:right w:val="none" w:sz="0" w:space="0" w:color="auto"/>
      </w:divBdr>
      <w:divsChild>
        <w:div w:id="1925414334">
          <w:marLeft w:val="547"/>
          <w:marRight w:val="0"/>
          <w:marTop w:val="0"/>
          <w:marBottom w:val="0"/>
          <w:divBdr>
            <w:top w:val="none" w:sz="0" w:space="0" w:color="auto"/>
            <w:left w:val="none" w:sz="0" w:space="0" w:color="auto"/>
            <w:bottom w:val="none" w:sz="0" w:space="0" w:color="auto"/>
            <w:right w:val="none" w:sz="0" w:space="0" w:color="auto"/>
          </w:divBdr>
        </w:div>
        <w:div w:id="1031079255">
          <w:marLeft w:val="547"/>
          <w:marRight w:val="0"/>
          <w:marTop w:val="0"/>
          <w:marBottom w:val="0"/>
          <w:divBdr>
            <w:top w:val="none" w:sz="0" w:space="0" w:color="auto"/>
            <w:left w:val="none" w:sz="0" w:space="0" w:color="auto"/>
            <w:bottom w:val="none" w:sz="0" w:space="0" w:color="auto"/>
            <w:right w:val="none" w:sz="0" w:space="0" w:color="auto"/>
          </w:divBdr>
        </w:div>
        <w:div w:id="1380201449">
          <w:marLeft w:val="547"/>
          <w:marRight w:val="0"/>
          <w:marTop w:val="0"/>
          <w:marBottom w:val="0"/>
          <w:divBdr>
            <w:top w:val="none" w:sz="0" w:space="0" w:color="auto"/>
            <w:left w:val="none" w:sz="0" w:space="0" w:color="auto"/>
            <w:bottom w:val="none" w:sz="0" w:space="0" w:color="auto"/>
            <w:right w:val="none" w:sz="0" w:space="0" w:color="auto"/>
          </w:divBdr>
        </w:div>
      </w:divsChild>
    </w:div>
    <w:div w:id="443813276">
      <w:bodyDiv w:val="1"/>
      <w:marLeft w:val="0"/>
      <w:marRight w:val="0"/>
      <w:marTop w:val="0"/>
      <w:marBottom w:val="0"/>
      <w:divBdr>
        <w:top w:val="none" w:sz="0" w:space="0" w:color="auto"/>
        <w:left w:val="none" w:sz="0" w:space="0" w:color="auto"/>
        <w:bottom w:val="none" w:sz="0" w:space="0" w:color="auto"/>
        <w:right w:val="none" w:sz="0" w:space="0" w:color="auto"/>
      </w:divBdr>
      <w:divsChild>
        <w:div w:id="665598670">
          <w:marLeft w:val="547"/>
          <w:marRight w:val="0"/>
          <w:marTop w:val="115"/>
          <w:marBottom w:val="0"/>
          <w:divBdr>
            <w:top w:val="none" w:sz="0" w:space="0" w:color="auto"/>
            <w:left w:val="none" w:sz="0" w:space="0" w:color="auto"/>
            <w:bottom w:val="none" w:sz="0" w:space="0" w:color="auto"/>
            <w:right w:val="none" w:sz="0" w:space="0" w:color="auto"/>
          </w:divBdr>
        </w:div>
      </w:divsChild>
    </w:div>
    <w:div w:id="570623902">
      <w:bodyDiv w:val="1"/>
      <w:marLeft w:val="0"/>
      <w:marRight w:val="0"/>
      <w:marTop w:val="0"/>
      <w:marBottom w:val="0"/>
      <w:divBdr>
        <w:top w:val="none" w:sz="0" w:space="0" w:color="auto"/>
        <w:left w:val="none" w:sz="0" w:space="0" w:color="auto"/>
        <w:bottom w:val="none" w:sz="0" w:space="0" w:color="auto"/>
        <w:right w:val="none" w:sz="0" w:space="0" w:color="auto"/>
      </w:divBdr>
      <w:divsChild>
        <w:div w:id="984431105">
          <w:marLeft w:val="1166"/>
          <w:marRight w:val="0"/>
          <w:marTop w:val="115"/>
          <w:marBottom w:val="0"/>
          <w:divBdr>
            <w:top w:val="none" w:sz="0" w:space="0" w:color="auto"/>
            <w:left w:val="none" w:sz="0" w:space="0" w:color="auto"/>
            <w:bottom w:val="none" w:sz="0" w:space="0" w:color="auto"/>
            <w:right w:val="none" w:sz="0" w:space="0" w:color="auto"/>
          </w:divBdr>
        </w:div>
        <w:div w:id="1258560311">
          <w:marLeft w:val="1800"/>
          <w:marRight w:val="0"/>
          <w:marTop w:val="77"/>
          <w:marBottom w:val="0"/>
          <w:divBdr>
            <w:top w:val="none" w:sz="0" w:space="0" w:color="auto"/>
            <w:left w:val="none" w:sz="0" w:space="0" w:color="auto"/>
            <w:bottom w:val="none" w:sz="0" w:space="0" w:color="auto"/>
            <w:right w:val="none" w:sz="0" w:space="0" w:color="auto"/>
          </w:divBdr>
        </w:div>
        <w:div w:id="247622424">
          <w:marLeft w:val="1800"/>
          <w:marRight w:val="0"/>
          <w:marTop w:val="77"/>
          <w:marBottom w:val="0"/>
          <w:divBdr>
            <w:top w:val="none" w:sz="0" w:space="0" w:color="auto"/>
            <w:left w:val="none" w:sz="0" w:space="0" w:color="auto"/>
            <w:bottom w:val="none" w:sz="0" w:space="0" w:color="auto"/>
            <w:right w:val="none" w:sz="0" w:space="0" w:color="auto"/>
          </w:divBdr>
        </w:div>
      </w:divsChild>
    </w:div>
    <w:div w:id="657540454">
      <w:bodyDiv w:val="1"/>
      <w:marLeft w:val="0"/>
      <w:marRight w:val="0"/>
      <w:marTop w:val="0"/>
      <w:marBottom w:val="0"/>
      <w:divBdr>
        <w:top w:val="none" w:sz="0" w:space="0" w:color="auto"/>
        <w:left w:val="none" w:sz="0" w:space="0" w:color="auto"/>
        <w:bottom w:val="none" w:sz="0" w:space="0" w:color="auto"/>
        <w:right w:val="none" w:sz="0" w:space="0" w:color="auto"/>
      </w:divBdr>
      <w:divsChild>
        <w:div w:id="1129981378">
          <w:marLeft w:val="547"/>
          <w:marRight w:val="0"/>
          <w:marTop w:val="77"/>
          <w:marBottom w:val="0"/>
          <w:divBdr>
            <w:top w:val="none" w:sz="0" w:space="0" w:color="auto"/>
            <w:left w:val="none" w:sz="0" w:space="0" w:color="auto"/>
            <w:bottom w:val="none" w:sz="0" w:space="0" w:color="auto"/>
            <w:right w:val="none" w:sz="0" w:space="0" w:color="auto"/>
          </w:divBdr>
        </w:div>
      </w:divsChild>
    </w:div>
    <w:div w:id="728654906">
      <w:bodyDiv w:val="1"/>
      <w:marLeft w:val="0"/>
      <w:marRight w:val="0"/>
      <w:marTop w:val="0"/>
      <w:marBottom w:val="0"/>
      <w:divBdr>
        <w:top w:val="none" w:sz="0" w:space="0" w:color="auto"/>
        <w:left w:val="none" w:sz="0" w:space="0" w:color="auto"/>
        <w:bottom w:val="none" w:sz="0" w:space="0" w:color="auto"/>
        <w:right w:val="none" w:sz="0" w:space="0" w:color="auto"/>
      </w:divBdr>
      <w:divsChild>
        <w:div w:id="651761531">
          <w:marLeft w:val="1166"/>
          <w:marRight w:val="0"/>
          <w:marTop w:val="115"/>
          <w:marBottom w:val="0"/>
          <w:divBdr>
            <w:top w:val="none" w:sz="0" w:space="0" w:color="auto"/>
            <w:left w:val="none" w:sz="0" w:space="0" w:color="auto"/>
            <w:bottom w:val="none" w:sz="0" w:space="0" w:color="auto"/>
            <w:right w:val="none" w:sz="0" w:space="0" w:color="auto"/>
          </w:divBdr>
        </w:div>
        <w:div w:id="1792360602">
          <w:marLeft w:val="1800"/>
          <w:marRight w:val="0"/>
          <w:marTop w:val="77"/>
          <w:marBottom w:val="0"/>
          <w:divBdr>
            <w:top w:val="none" w:sz="0" w:space="0" w:color="auto"/>
            <w:left w:val="none" w:sz="0" w:space="0" w:color="auto"/>
            <w:bottom w:val="none" w:sz="0" w:space="0" w:color="auto"/>
            <w:right w:val="none" w:sz="0" w:space="0" w:color="auto"/>
          </w:divBdr>
        </w:div>
        <w:div w:id="1657492624">
          <w:marLeft w:val="1800"/>
          <w:marRight w:val="0"/>
          <w:marTop w:val="77"/>
          <w:marBottom w:val="0"/>
          <w:divBdr>
            <w:top w:val="none" w:sz="0" w:space="0" w:color="auto"/>
            <w:left w:val="none" w:sz="0" w:space="0" w:color="auto"/>
            <w:bottom w:val="none" w:sz="0" w:space="0" w:color="auto"/>
            <w:right w:val="none" w:sz="0" w:space="0" w:color="auto"/>
          </w:divBdr>
        </w:div>
      </w:divsChild>
    </w:div>
    <w:div w:id="779836616">
      <w:bodyDiv w:val="1"/>
      <w:marLeft w:val="0"/>
      <w:marRight w:val="0"/>
      <w:marTop w:val="0"/>
      <w:marBottom w:val="0"/>
      <w:divBdr>
        <w:top w:val="none" w:sz="0" w:space="0" w:color="auto"/>
        <w:left w:val="none" w:sz="0" w:space="0" w:color="auto"/>
        <w:bottom w:val="none" w:sz="0" w:space="0" w:color="auto"/>
        <w:right w:val="none" w:sz="0" w:space="0" w:color="auto"/>
      </w:divBdr>
      <w:divsChild>
        <w:div w:id="1402873283">
          <w:marLeft w:val="1166"/>
          <w:marRight w:val="0"/>
          <w:marTop w:val="77"/>
          <w:marBottom w:val="0"/>
          <w:divBdr>
            <w:top w:val="none" w:sz="0" w:space="0" w:color="auto"/>
            <w:left w:val="none" w:sz="0" w:space="0" w:color="auto"/>
            <w:bottom w:val="none" w:sz="0" w:space="0" w:color="auto"/>
            <w:right w:val="none" w:sz="0" w:space="0" w:color="auto"/>
          </w:divBdr>
        </w:div>
      </w:divsChild>
    </w:div>
    <w:div w:id="871186101">
      <w:bodyDiv w:val="1"/>
      <w:marLeft w:val="0"/>
      <w:marRight w:val="0"/>
      <w:marTop w:val="0"/>
      <w:marBottom w:val="0"/>
      <w:divBdr>
        <w:top w:val="none" w:sz="0" w:space="0" w:color="auto"/>
        <w:left w:val="none" w:sz="0" w:space="0" w:color="auto"/>
        <w:bottom w:val="none" w:sz="0" w:space="0" w:color="auto"/>
        <w:right w:val="none" w:sz="0" w:space="0" w:color="auto"/>
      </w:divBdr>
      <w:divsChild>
        <w:div w:id="152109612">
          <w:marLeft w:val="1123"/>
          <w:marRight w:val="0"/>
          <w:marTop w:val="77"/>
          <w:marBottom w:val="0"/>
          <w:divBdr>
            <w:top w:val="none" w:sz="0" w:space="0" w:color="auto"/>
            <w:left w:val="none" w:sz="0" w:space="0" w:color="auto"/>
            <w:bottom w:val="none" w:sz="0" w:space="0" w:color="auto"/>
            <w:right w:val="none" w:sz="0" w:space="0" w:color="auto"/>
          </w:divBdr>
        </w:div>
        <w:div w:id="1612011389">
          <w:marLeft w:val="1123"/>
          <w:marRight w:val="0"/>
          <w:marTop w:val="77"/>
          <w:marBottom w:val="0"/>
          <w:divBdr>
            <w:top w:val="none" w:sz="0" w:space="0" w:color="auto"/>
            <w:left w:val="none" w:sz="0" w:space="0" w:color="auto"/>
            <w:bottom w:val="none" w:sz="0" w:space="0" w:color="auto"/>
            <w:right w:val="none" w:sz="0" w:space="0" w:color="auto"/>
          </w:divBdr>
        </w:div>
        <w:div w:id="108361144">
          <w:marLeft w:val="1123"/>
          <w:marRight w:val="0"/>
          <w:marTop w:val="77"/>
          <w:marBottom w:val="0"/>
          <w:divBdr>
            <w:top w:val="none" w:sz="0" w:space="0" w:color="auto"/>
            <w:left w:val="none" w:sz="0" w:space="0" w:color="auto"/>
            <w:bottom w:val="none" w:sz="0" w:space="0" w:color="auto"/>
            <w:right w:val="none" w:sz="0" w:space="0" w:color="auto"/>
          </w:divBdr>
        </w:div>
        <w:div w:id="874268866">
          <w:marLeft w:val="1166"/>
          <w:marRight w:val="0"/>
          <w:marTop w:val="77"/>
          <w:marBottom w:val="0"/>
          <w:divBdr>
            <w:top w:val="none" w:sz="0" w:space="0" w:color="auto"/>
            <w:left w:val="none" w:sz="0" w:space="0" w:color="auto"/>
            <w:bottom w:val="none" w:sz="0" w:space="0" w:color="auto"/>
            <w:right w:val="none" w:sz="0" w:space="0" w:color="auto"/>
          </w:divBdr>
        </w:div>
        <w:div w:id="1741058571">
          <w:marLeft w:val="1166"/>
          <w:marRight w:val="0"/>
          <w:marTop w:val="77"/>
          <w:marBottom w:val="0"/>
          <w:divBdr>
            <w:top w:val="none" w:sz="0" w:space="0" w:color="auto"/>
            <w:left w:val="none" w:sz="0" w:space="0" w:color="auto"/>
            <w:bottom w:val="none" w:sz="0" w:space="0" w:color="auto"/>
            <w:right w:val="none" w:sz="0" w:space="0" w:color="auto"/>
          </w:divBdr>
        </w:div>
      </w:divsChild>
    </w:div>
    <w:div w:id="875433707">
      <w:bodyDiv w:val="1"/>
      <w:marLeft w:val="0"/>
      <w:marRight w:val="0"/>
      <w:marTop w:val="0"/>
      <w:marBottom w:val="0"/>
      <w:divBdr>
        <w:top w:val="none" w:sz="0" w:space="0" w:color="auto"/>
        <w:left w:val="none" w:sz="0" w:space="0" w:color="auto"/>
        <w:bottom w:val="none" w:sz="0" w:space="0" w:color="auto"/>
        <w:right w:val="none" w:sz="0" w:space="0" w:color="auto"/>
      </w:divBdr>
    </w:div>
    <w:div w:id="880170686">
      <w:bodyDiv w:val="1"/>
      <w:marLeft w:val="0"/>
      <w:marRight w:val="0"/>
      <w:marTop w:val="0"/>
      <w:marBottom w:val="0"/>
      <w:divBdr>
        <w:top w:val="none" w:sz="0" w:space="0" w:color="auto"/>
        <w:left w:val="none" w:sz="0" w:space="0" w:color="auto"/>
        <w:bottom w:val="none" w:sz="0" w:space="0" w:color="auto"/>
        <w:right w:val="none" w:sz="0" w:space="0" w:color="auto"/>
      </w:divBdr>
    </w:div>
    <w:div w:id="987443876">
      <w:bodyDiv w:val="1"/>
      <w:marLeft w:val="0"/>
      <w:marRight w:val="0"/>
      <w:marTop w:val="0"/>
      <w:marBottom w:val="0"/>
      <w:divBdr>
        <w:top w:val="none" w:sz="0" w:space="0" w:color="auto"/>
        <w:left w:val="none" w:sz="0" w:space="0" w:color="auto"/>
        <w:bottom w:val="none" w:sz="0" w:space="0" w:color="auto"/>
        <w:right w:val="none" w:sz="0" w:space="0" w:color="auto"/>
      </w:divBdr>
      <w:divsChild>
        <w:div w:id="963929630">
          <w:marLeft w:val="547"/>
          <w:marRight w:val="0"/>
          <w:marTop w:val="77"/>
          <w:marBottom w:val="0"/>
          <w:divBdr>
            <w:top w:val="none" w:sz="0" w:space="0" w:color="auto"/>
            <w:left w:val="none" w:sz="0" w:space="0" w:color="auto"/>
            <w:bottom w:val="none" w:sz="0" w:space="0" w:color="auto"/>
            <w:right w:val="none" w:sz="0" w:space="0" w:color="auto"/>
          </w:divBdr>
        </w:div>
      </w:divsChild>
    </w:div>
    <w:div w:id="1052196653">
      <w:bodyDiv w:val="1"/>
      <w:marLeft w:val="0"/>
      <w:marRight w:val="0"/>
      <w:marTop w:val="0"/>
      <w:marBottom w:val="0"/>
      <w:divBdr>
        <w:top w:val="none" w:sz="0" w:space="0" w:color="auto"/>
        <w:left w:val="none" w:sz="0" w:space="0" w:color="auto"/>
        <w:bottom w:val="none" w:sz="0" w:space="0" w:color="auto"/>
        <w:right w:val="none" w:sz="0" w:space="0" w:color="auto"/>
      </w:divBdr>
    </w:div>
    <w:div w:id="1055853712">
      <w:bodyDiv w:val="1"/>
      <w:marLeft w:val="0"/>
      <w:marRight w:val="0"/>
      <w:marTop w:val="0"/>
      <w:marBottom w:val="0"/>
      <w:divBdr>
        <w:top w:val="none" w:sz="0" w:space="0" w:color="auto"/>
        <w:left w:val="none" w:sz="0" w:space="0" w:color="auto"/>
        <w:bottom w:val="none" w:sz="0" w:space="0" w:color="auto"/>
        <w:right w:val="none" w:sz="0" w:space="0" w:color="auto"/>
      </w:divBdr>
      <w:divsChild>
        <w:div w:id="751317761">
          <w:marLeft w:val="-5775"/>
          <w:marRight w:val="0"/>
          <w:marTop w:val="0"/>
          <w:marBottom w:val="0"/>
          <w:divBdr>
            <w:top w:val="none" w:sz="0" w:space="0" w:color="auto"/>
            <w:left w:val="none" w:sz="0" w:space="0" w:color="auto"/>
            <w:bottom w:val="none" w:sz="0" w:space="0" w:color="auto"/>
            <w:right w:val="none" w:sz="0" w:space="0" w:color="auto"/>
          </w:divBdr>
          <w:divsChild>
            <w:div w:id="13754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9939">
      <w:bodyDiv w:val="1"/>
      <w:marLeft w:val="0"/>
      <w:marRight w:val="0"/>
      <w:marTop w:val="0"/>
      <w:marBottom w:val="0"/>
      <w:divBdr>
        <w:top w:val="none" w:sz="0" w:space="0" w:color="auto"/>
        <w:left w:val="none" w:sz="0" w:space="0" w:color="auto"/>
        <w:bottom w:val="none" w:sz="0" w:space="0" w:color="auto"/>
        <w:right w:val="none" w:sz="0" w:space="0" w:color="auto"/>
      </w:divBdr>
    </w:div>
    <w:div w:id="1123353482">
      <w:bodyDiv w:val="1"/>
      <w:marLeft w:val="0"/>
      <w:marRight w:val="0"/>
      <w:marTop w:val="0"/>
      <w:marBottom w:val="0"/>
      <w:divBdr>
        <w:top w:val="none" w:sz="0" w:space="0" w:color="auto"/>
        <w:left w:val="none" w:sz="0" w:space="0" w:color="auto"/>
        <w:bottom w:val="none" w:sz="0" w:space="0" w:color="auto"/>
        <w:right w:val="none" w:sz="0" w:space="0" w:color="auto"/>
      </w:divBdr>
      <w:divsChild>
        <w:div w:id="2105412800">
          <w:marLeft w:val="360"/>
          <w:marRight w:val="0"/>
          <w:marTop w:val="40"/>
          <w:marBottom w:val="40"/>
          <w:divBdr>
            <w:top w:val="none" w:sz="0" w:space="0" w:color="auto"/>
            <w:left w:val="none" w:sz="0" w:space="0" w:color="auto"/>
            <w:bottom w:val="none" w:sz="0" w:space="0" w:color="auto"/>
            <w:right w:val="none" w:sz="0" w:space="0" w:color="auto"/>
          </w:divBdr>
        </w:div>
        <w:div w:id="1764256559">
          <w:marLeft w:val="360"/>
          <w:marRight w:val="0"/>
          <w:marTop w:val="40"/>
          <w:marBottom w:val="40"/>
          <w:divBdr>
            <w:top w:val="none" w:sz="0" w:space="0" w:color="auto"/>
            <w:left w:val="none" w:sz="0" w:space="0" w:color="auto"/>
            <w:bottom w:val="none" w:sz="0" w:space="0" w:color="auto"/>
            <w:right w:val="none" w:sz="0" w:space="0" w:color="auto"/>
          </w:divBdr>
        </w:div>
        <w:div w:id="1298954187">
          <w:marLeft w:val="360"/>
          <w:marRight w:val="0"/>
          <w:marTop w:val="40"/>
          <w:marBottom w:val="40"/>
          <w:divBdr>
            <w:top w:val="none" w:sz="0" w:space="0" w:color="auto"/>
            <w:left w:val="none" w:sz="0" w:space="0" w:color="auto"/>
            <w:bottom w:val="none" w:sz="0" w:space="0" w:color="auto"/>
            <w:right w:val="none" w:sz="0" w:space="0" w:color="auto"/>
          </w:divBdr>
        </w:div>
      </w:divsChild>
    </w:div>
    <w:div w:id="1286430941">
      <w:bodyDiv w:val="1"/>
      <w:marLeft w:val="0"/>
      <w:marRight w:val="0"/>
      <w:marTop w:val="0"/>
      <w:marBottom w:val="0"/>
      <w:divBdr>
        <w:top w:val="none" w:sz="0" w:space="0" w:color="auto"/>
        <w:left w:val="none" w:sz="0" w:space="0" w:color="auto"/>
        <w:bottom w:val="none" w:sz="0" w:space="0" w:color="auto"/>
        <w:right w:val="none" w:sz="0" w:space="0" w:color="auto"/>
      </w:divBdr>
    </w:div>
    <w:div w:id="1296369465">
      <w:bodyDiv w:val="1"/>
      <w:marLeft w:val="0"/>
      <w:marRight w:val="0"/>
      <w:marTop w:val="0"/>
      <w:marBottom w:val="0"/>
      <w:divBdr>
        <w:top w:val="none" w:sz="0" w:space="0" w:color="auto"/>
        <w:left w:val="none" w:sz="0" w:space="0" w:color="auto"/>
        <w:bottom w:val="none" w:sz="0" w:space="0" w:color="auto"/>
        <w:right w:val="none" w:sz="0" w:space="0" w:color="auto"/>
      </w:divBdr>
      <w:divsChild>
        <w:div w:id="726150609">
          <w:marLeft w:val="547"/>
          <w:marRight w:val="0"/>
          <w:marTop w:val="77"/>
          <w:marBottom w:val="0"/>
          <w:divBdr>
            <w:top w:val="none" w:sz="0" w:space="0" w:color="auto"/>
            <w:left w:val="none" w:sz="0" w:space="0" w:color="auto"/>
            <w:bottom w:val="none" w:sz="0" w:space="0" w:color="auto"/>
            <w:right w:val="none" w:sz="0" w:space="0" w:color="auto"/>
          </w:divBdr>
        </w:div>
      </w:divsChild>
    </w:div>
    <w:div w:id="1318996992">
      <w:bodyDiv w:val="1"/>
      <w:marLeft w:val="0"/>
      <w:marRight w:val="0"/>
      <w:marTop w:val="0"/>
      <w:marBottom w:val="0"/>
      <w:divBdr>
        <w:top w:val="none" w:sz="0" w:space="0" w:color="auto"/>
        <w:left w:val="none" w:sz="0" w:space="0" w:color="auto"/>
        <w:bottom w:val="none" w:sz="0" w:space="0" w:color="auto"/>
        <w:right w:val="none" w:sz="0" w:space="0" w:color="auto"/>
      </w:divBdr>
      <w:divsChild>
        <w:div w:id="578054837">
          <w:marLeft w:val="547"/>
          <w:marRight w:val="0"/>
          <w:marTop w:val="0"/>
          <w:marBottom w:val="0"/>
          <w:divBdr>
            <w:top w:val="none" w:sz="0" w:space="0" w:color="auto"/>
            <w:left w:val="none" w:sz="0" w:space="0" w:color="auto"/>
            <w:bottom w:val="none" w:sz="0" w:space="0" w:color="auto"/>
            <w:right w:val="none" w:sz="0" w:space="0" w:color="auto"/>
          </w:divBdr>
        </w:div>
        <w:div w:id="478307963">
          <w:marLeft w:val="547"/>
          <w:marRight w:val="0"/>
          <w:marTop w:val="0"/>
          <w:marBottom w:val="0"/>
          <w:divBdr>
            <w:top w:val="none" w:sz="0" w:space="0" w:color="auto"/>
            <w:left w:val="none" w:sz="0" w:space="0" w:color="auto"/>
            <w:bottom w:val="none" w:sz="0" w:space="0" w:color="auto"/>
            <w:right w:val="none" w:sz="0" w:space="0" w:color="auto"/>
          </w:divBdr>
        </w:div>
        <w:div w:id="683096253">
          <w:marLeft w:val="547"/>
          <w:marRight w:val="0"/>
          <w:marTop w:val="0"/>
          <w:marBottom w:val="0"/>
          <w:divBdr>
            <w:top w:val="none" w:sz="0" w:space="0" w:color="auto"/>
            <w:left w:val="none" w:sz="0" w:space="0" w:color="auto"/>
            <w:bottom w:val="none" w:sz="0" w:space="0" w:color="auto"/>
            <w:right w:val="none" w:sz="0" w:space="0" w:color="auto"/>
          </w:divBdr>
        </w:div>
      </w:divsChild>
    </w:div>
    <w:div w:id="1326476059">
      <w:bodyDiv w:val="1"/>
      <w:marLeft w:val="0"/>
      <w:marRight w:val="0"/>
      <w:marTop w:val="0"/>
      <w:marBottom w:val="0"/>
      <w:divBdr>
        <w:top w:val="none" w:sz="0" w:space="0" w:color="auto"/>
        <w:left w:val="none" w:sz="0" w:space="0" w:color="auto"/>
        <w:bottom w:val="none" w:sz="0" w:space="0" w:color="auto"/>
        <w:right w:val="none" w:sz="0" w:space="0" w:color="auto"/>
      </w:divBdr>
    </w:div>
    <w:div w:id="1335455420">
      <w:bodyDiv w:val="1"/>
      <w:marLeft w:val="0"/>
      <w:marRight w:val="0"/>
      <w:marTop w:val="0"/>
      <w:marBottom w:val="0"/>
      <w:divBdr>
        <w:top w:val="none" w:sz="0" w:space="0" w:color="auto"/>
        <w:left w:val="none" w:sz="0" w:space="0" w:color="auto"/>
        <w:bottom w:val="none" w:sz="0" w:space="0" w:color="auto"/>
        <w:right w:val="none" w:sz="0" w:space="0" w:color="auto"/>
      </w:divBdr>
    </w:div>
    <w:div w:id="1520654598">
      <w:bodyDiv w:val="1"/>
      <w:marLeft w:val="0"/>
      <w:marRight w:val="0"/>
      <w:marTop w:val="0"/>
      <w:marBottom w:val="0"/>
      <w:divBdr>
        <w:top w:val="none" w:sz="0" w:space="0" w:color="auto"/>
        <w:left w:val="none" w:sz="0" w:space="0" w:color="auto"/>
        <w:bottom w:val="none" w:sz="0" w:space="0" w:color="auto"/>
        <w:right w:val="none" w:sz="0" w:space="0" w:color="auto"/>
      </w:divBdr>
    </w:div>
    <w:div w:id="1582565213">
      <w:bodyDiv w:val="1"/>
      <w:marLeft w:val="0"/>
      <w:marRight w:val="0"/>
      <w:marTop w:val="0"/>
      <w:marBottom w:val="0"/>
      <w:divBdr>
        <w:top w:val="none" w:sz="0" w:space="0" w:color="auto"/>
        <w:left w:val="none" w:sz="0" w:space="0" w:color="auto"/>
        <w:bottom w:val="none" w:sz="0" w:space="0" w:color="auto"/>
        <w:right w:val="none" w:sz="0" w:space="0" w:color="auto"/>
      </w:divBdr>
    </w:div>
    <w:div w:id="1645772592">
      <w:bodyDiv w:val="1"/>
      <w:marLeft w:val="0"/>
      <w:marRight w:val="0"/>
      <w:marTop w:val="0"/>
      <w:marBottom w:val="0"/>
      <w:divBdr>
        <w:top w:val="none" w:sz="0" w:space="0" w:color="auto"/>
        <w:left w:val="none" w:sz="0" w:space="0" w:color="auto"/>
        <w:bottom w:val="none" w:sz="0" w:space="0" w:color="auto"/>
        <w:right w:val="none" w:sz="0" w:space="0" w:color="auto"/>
      </w:divBdr>
      <w:divsChild>
        <w:div w:id="1748381256">
          <w:marLeft w:val="360"/>
          <w:marRight w:val="0"/>
          <w:marTop w:val="40"/>
          <w:marBottom w:val="40"/>
          <w:divBdr>
            <w:top w:val="none" w:sz="0" w:space="0" w:color="auto"/>
            <w:left w:val="none" w:sz="0" w:space="0" w:color="auto"/>
            <w:bottom w:val="none" w:sz="0" w:space="0" w:color="auto"/>
            <w:right w:val="none" w:sz="0" w:space="0" w:color="auto"/>
          </w:divBdr>
        </w:div>
        <w:div w:id="535699955">
          <w:marLeft w:val="360"/>
          <w:marRight w:val="0"/>
          <w:marTop w:val="40"/>
          <w:marBottom w:val="40"/>
          <w:divBdr>
            <w:top w:val="none" w:sz="0" w:space="0" w:color="auto"/>
            <w:left w:val="none" w:sz="0" w:space="0" w:color="auto"/>
            <w:bottom w:val="none" w:sz="0" w:space="0" w:color="auto"/>
            <w:right w:val="none" w:sz="0" w:space="0" w:color="auto"/>
          </w:divBdr>
        </w:div>
        <w:div w:id="1479616847">
          <w:marLeft w:val="360"/>
          <w:marRight w:val="0"/>
          <w:marTop w:val="40"/>
          <w:marBottom w:val="40"/>
          <w:divBdr>
            <w:top w:val="none" w:sz="0" w:space="0" w:color="auto"/>
            <w:left w:val="none" w:sz="0" w:space="0" w:color="auto"/>
            <w:bottom w:val="none" w:sz="0" w:space="0" w:color="auto"/>
            <w:right w:val="none" w:sz="0" w:space="0" w:color="auto"/>
          </w:divBdr>
        </w:div>
      </w:divsChild>
    </w:div>
    <w:div w:id="1711029357">
      <w:bodyDiv w:val="1"/>
      <w:marLeft w:val="0"/>
      <w:marRight w:val="0"/>
      <w:marTop w:val="0"/>
      <w:marBottom w:val="0"/>
      <w:divBdr>
        <w:top w:val="none" w:sz="0" w:space="0" w:color="auto"/>
        <w:left w:val="none" w:sz="0" w:space="0" w:color="auto"/>
        <w:bottom w:val="none" w:sz="0" w:space="0" w:color="auto"/>
        <w:right w:val="none" w:sz="0" w:space="0" w:color="auto"/>
      </w:divBdr>
      <w:divsChild>
        <w:div w:id="339699445">
          <w:marLeft w:val="1166"/>
          <w:marRight w:val="0"/>
          <w:marTop w:val="77"/>
          <w:marBottom w:val="0"/>
          <w:divBdr>
            <w:top w:val="none" w:sz="0" w:space="0" w:color="auto"/>
            <w:left w:val="none" w:sz="0" w:space="0" w:color="auto"/>
            <w:bottom w:val="none" w:sz="0" w:space="0" w:color="auto"/>
            <w:right w:val="none" w:sz="0" w:space="0" w:color="auto"/>
          </w:divBdr>
        </w:div>
        <w:div w:id="1891919487">
          <w:marLeft w:val="1166"/>
          <w:marRight w:val="0"/>
          <w:marTop w:val="77"/>
          <w:marBottom w:val="0"/>
          <w:divBdr>
            <w:top w:val="none" w:sz="0" w:space="0" w:color="auto"/>
            <w:left w:val="none" w:sz="0" w:space="0" w:color="auto"/>
            <w:bottom w:val="none" w:sz="0" w:space="0" w:color="auto"/>
            <w:right w:val="none" w:sz="0" w:space="0" w:color="auto"/>
          </w:divBdr>
        </w:div>
        <w:div w:id="1288271255">
          <w:marLeft w:val="1166"/>
          <w:marRight w:val="0"/>
          <w:marTop w:val="77"/>
          <w:marBottom w:val="0"/>
          <w:divBdr>
            <w:top w:val="none" w:sz="0" w:space="0" w:color="auto"/>
            <w:left w:val="none" w:sz="0" w:space="0" w:color="auto"/>
            <w:bottom w:val="none" w:sz="0" w:space="0" w:color="auto"/>
            <w:right w:val="none" w:sz="0" w:space="0" w:color="auto"/>
          </w:divBdr>
        </w:div>
        <w:div w:id="1207061972">
          <w:marLeft w:val="1166"/>
          <w:marRight w:val="0"/>
          <w:marTop w:val="77"/>
          <w:marBottom w:val="0"/>
          <w:divBdr>
            <w:top w:val="none" w:sz="0" w:space="0" w:color="auto"/>
            <w:left w:val="none" w:sz="0" w:space="0" w:color="auto"/>
            <w:bottom w:val="none" w:sz="0" w:space="0" w:color="auto"/>
            <w:right w:val="none" w:sz="0" w:space="0" w:color="auto"/>
          </w:divBdr>
        </w:div>
      </w:divsChild>
    </w:div>
    <w:div w:id="1733192004">
      <w:bodyDiv w:val="1"/>
      <w:marLeft w:val="0"/>
      <w:marRight w:val="0"/>
      <w:marTop w:val="0"/>
      <w:marBottom w:val="0"/>
      <w:divBdr>
        <w:top w:val="none" w:sz="0" w:space="0" w:color="auto"/>
        <w:left w:val="none" w:sz="0" w:space="0" w:color="auto"/>
        <w:bottom w:val="none" w:sz="0" w:space="0" w:color="auto"/>
        <w:right w:val="none" w:sz="0" w:space="0" w:color="auto"/>
      </w:divBdr>
    </w:div>
    <w:div w:id="1792820665">
      <w:bodyDiv w:val="1"/>
      <w:marLeft w:val="0"/>
      <w:marRight w:val="0"/>
      <w:marTop w:val="0"/>
      <w:marBottom w:val="0"/>
      <w:divBdr>
        <w:top w:val="none" w:sz="0" w:space="0" w:color="auto"/>
        <w:left w:val="none" w:sz="0" w:space="0" w:color="auto"/>
        <w:bottom w:val="none" w:sz="0" w:space="0" w:color="auto"/>
        <w:right w:val="none" w:sz="0" w:space="0" w:color="auto"/>
      </w:divBdr>
      <w:divsChild>
        <w:div w:id="224296158">
          <w:marLeft w:val="1166"/>
          <w:marRight w:val="0"/>
          <w:marTop w:val="115"/>
          <w:marBottom w:val="0"/>
          <w:divBdr>
            <w:top w:val="none" w:sz="0" w:space="0" w:color="auto"/>
            <w:left w:val="none" w:sz="0" w:space="0" w:color="auto"/>
            <w:bottom w:val="none" w:sz="0" w:space="0" w:color="auto"/>
            <w:right w:val="none" w:sz="0" w:space="0" w:color="auto"/>
          </w:divBdr>
        </w:div>
        <w:div w:id="1899241805">
          <w:marLeft w:val="1800"/>
          <w:marRight w:val="0"/>
          <w:marTop w:val="77"/>
          <w:marBottom w:val="0"/>
          <w:divBdr>
            <w:top w:val="none" w:sz="0" w:space="0" w:color="auto"/>
            <w:left w:val="none" w:sz="0" w:space="0" w:color="auto"/>
            <w:bottom w:val="none" w:sz="0" w:space="0" w:color="auto"/>
            <w:right w:val="none" w:sz="0" w:space="0" w:color="auto"/>
          </w:divBdr>
        </w:div>
        <w:div w:id="635179152">
          <w:marLeft w:val="1800"/>
          <w:marRight w:val="0"/>
          <w:marTop w:val="77"/>
          <w:marBottom w:val="0"/>
          <w:divBdr>
            <w:top w:val="none" w:sz="0" w:space="0" w:color="auto"/>
            <w:left w:val="none" w:sz="0" w:space="0" w:color="auto"/>
            <w:bottom w:val="none" w:sz="0" w:space="0" w:color="auto"/>
            <w:right w:val="none" w:sz="0" w:space="0" w:color="auto"/>
          </w:divBdr>
        </w:div>
        <w:div w:id="1891574901">
          <w:marLeft w:val="1800"/>
          <w:marRight w:val="0"/>
          <w:marTop w:val="77"/>
          <w:marBottom w:val="0"/>
          <w:divBdr>
            <w:top w:val="none" w:sz="0" w:space="0" w:color="auto"/>
            <w:left w:val="none" w:sz="0" w:space="0" w:color="auto"/>
            <w:bottom w:val="none" w:sz="0" w:space="0" w:color="auto"/>
            <w:right w:val="none" w:sz="0" w:space="0" w:color="auto"/>
          </w:divBdr>
        </w:div>
        <w:div w:id="885029559">
          <w:marLeft w:val="1800"/>
          <w:marRight w:val="0"/>
          <w:marTop w:val="77"/>
          <w:marBottom w:val="0"/>
          <w:divBdr>
            <w:top w:val="none" w:sz="0" w:space="0" w:color="auto"/>
            <w:left w:val="none" w:sz="0" w:space="0" w:color="auto"/>
            <w:bottom w:val="none" w:sz="0" w:space="0" w:color="auto"/>
            <w:right w:val="none" w:sz="0" w:space="0" w:color="auto"/>
          </w:divBdr>
        </w:div>
      </w:divsChild>
    </w:div>
    <w:div w:id="1849903699">
      <w:bodyDiv w:val="1"/>
      <w:marLeft w:val="0"/>
      <w:marRight w:val="0"/>
      <w:marTop w:val="0"/>
      <w:marBottom w:val="0"/>
      <w:divBdr>
        <w:top w:val="none" w:sz="0" w:space="0" w:color="auto"/>
        <w:left w:val="none" w:sz="0" w:space="0" w:color="auto"/>
        <w:bottom w:val="none" w:sz="0" w:space="0" w:color="auto"/>
        <w:right w:val="none" w:sz="0" w:space="0" w:color="auto"/>
      </w:divBdr>
    </w:div>
    <w:div w:id="1936740808">
      <w:bodyDiv w:val="1"/>
      <w:marLeft w:val="0"/>
      <w:marRight w:val="0"/>
      <w:marTop w:val="0"/>
      <w:marBottom w:val="0"/>
      <w:divBdr>
        <w:top w:val="none" w:sz="0" w:space="0" w:color="auto"/>
        <w:left w:val="none" w:sz="0" w:space="0" w:color="auto"/>
        <w:bottom w:val="none" w:sz="0" w:space="0" w:color="auto"/>
        <w:right w:val="none" w:sz="0" w:space="0" w:color="auto"/>
      </w:divBdr>
    </w:div>
    <w:div w:id="20891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3.xml"/><Relationship Id="rId26" Type="http://schemas.openxmlformats.org/officeDocument/2006/relationships/hyperlink" Target="http://www.thefoodworld.com/food-exporters-importers/Chutneys/2951/" TargetMode="External"/><Relationship Id="rId39" Type="http://schemas.openxmlformats.org/officeDocument/2006/relationships/hyperlink" Target="http://www.thefoodworld.com/food-exporters-importers/Vegetables_Preserves/3/" TargetMode="External"/><Relationship Id="rId21" Type="http://schemas.openxmlformats.org/officeDocument/2006/relationships/chart" Target="charts/chart4.xml"/><Relationship Id="rId34" Type="http://schemas.openxmlformats.org/officeDocument/2006/relationships/hyperlink" Target="http://www.thefoodworld.com/food-exporters-importers/Flour/74/" TargetMode="External"/><Relationship Id="rId42" Type="http://schemas.openxmlformats.org/officeDocument/2006/relationships/hyperlink" Target="http://www.thefoodworld.com/food-exporters-importers/Sauces/96/" TargetMode="External"/><Relationship Id="rId47" Type="http://schemas.openxmlformats.org/officeDocument/2006/relationships/hyperlink" Target="http://www.thefoodworld.com/food-exporters-importers/Tomato_Puree/9/" TargetMode="External"/><Relationship Id="rId50" Type="http://schemas.openxmlformats.org/officeDocument/2006/relationships/hyperlink" Target="http://www.thefoodworld.com/food-exporters-importers/Dried_Vegetables/47/" TargetMode="External"/><Relationship Id="rId55" Type="http://schemas.openxmlformats.org/officeDocument/2006/relationships/hyperlink" Target="http://www.guardian.co.uk/education/2006/mar/21/highereducation.uk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29" Type="http://schemas.openxmlformats.org/officeDocument/2006/relationships/hyperlink" Target="http://www.thefoodworld.com/food-exporters-importers/Flavoured_Salts/6746/" TargetMode="External"/><Relationship Id="rId41" Type="http://schemas.openxmlformats.org/officeDocument/2006/relationships/hyperlink" Target="http://www.thefoodworld.com/food-exporters-importers/Seasonings/225/" TargetMode="External"/><Relationship Id="rId54" Type="http://schemas.openxmlformats.org/officeDocument/2006/relationships/footer" Target="foot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thefoodworld.com/food-exporters-importers/Relishes/1641/" TargetMode="External"/><Relationship Id="rId32" Type="http://schemas.openxmlformats.org/officeDocument/2006/relationships/hyperlink" Target="http://www.thefoodworld.com/food-exporters-importers/Sugar/41/" TargetMode="External"/><Relationship Id="rId37" Type="http://schemas.openxmlformats.org/officeDocument/2006/relationships/hyperlink" Target="http://www.thefoodworld.com/food-exporters-importers/Rice_Products/572/" TargetMode="External"/><Relationship Id="rId40" Type="http://schemas.openxmlformats.org/officeDocument/2006/relationships/hyperlink" Target="http://www.thefoodworld.com/food-exporters-importers/Mushroom_Preserves/3238/" TargetMode="External"/><Relationship Id="rId45" Type="http://schemas.openxmlformats.org/officeDocument/2006/relationships/hyperlink" Target="http://www.thefoodworld.com/food-exporters-importers/Vinegar/307/" TargetMode="External"/><Relationship Id="rId53" Type="http://schemas.openxmlformats.org/officeDocument/2006/relationships/hyperlink" Target="http://www.thefoodworld.com/food-exporters-importers/Sugar_Confectionery/3163/" TargetMode="External"/><Relationship Id="rId58" Type="http://schemas.openxmlformats.org/officeDocument/2006/relationships/hyperlink" Target="http://www.cbi.eu/?pag=17"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thefoodworld.com/company/hawkshead-relish-company" TargetMode="External"/><Relationship Id="rId28" Type="http://schemas.openxmlformats.org/officeDocument/2006/relationships/hyperlink" Target="http://www.thefoodworld.com/food-exporters-importers/Oils/160/" TargetMode="External"/><Relationship Id="rId36" Type="http://schemas.openxmlformats.org/officeDocument/2006/relationships/hyperlink" Target="http://www.thefoodworld.com/food-exporters-importers/Rice/161/" TargetMode="External"/><Relationship Id="rId49" Type="http://schemas.openxmlformats.org/officeDocument/2006/relationships/hyperlink" Target="http://www.thefoodworld.com/food-exporters-importers/Dried_Fruits/50/" TargetMode="External"/><Relationship Id="rId57" Type="http://schemas.openxmlformats.org/officeDocument/2006/relationships/hyperlink" Target="http://www.cbi.eu/?pag=3" TargetMode="External"/><Relationship Id="rId61"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www.thefoodworld.com/company/hoo-hing-commercial-centre" TargetMode="External"/><Relationship Id="rId44" Type="http://schemas.openxmlformats.org/officeDocument/2006/relationships/hyperlink" Target="http://www.thefoodworld.com/food-exporters-importers/Soup_Stocks/2956/" TargetMode="External"/><Relationship Id="rId52" Type="http://schemas.openxmlformats.org/officeDocument/2006/relationships/hyperlink" Target="http://www.thefoodworld.com/food-exporters-importers/Soya_Products/1586/"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www.thefoodworld.com/food-exporters-importers/Mustard/6/" TargetMode="External"/><Relationship Id="rId30" Type="http://schemas.openxmlformats.org/officeDocument/2006/relationships/hyperlink" Target="http://www.thefoodworld.com/food-exporters-importers/Sauces/96/" TargetMode="External"/><Relationship Id="rId35" Type="http://schemas.openxmlformats.org/officeDocument/2006/relationships/hyperlink" Target="http://www.thefoodworld.com/food-exporters-importers/Starches/1168/" TargetMode="External"/><Relationship Id="rId43" Type="http://schemas.openxmlformats.org/officeDocument/2006/relationships/hyperlink" Target="http://www.thefoodworld.com/food-exporters-importers/Meat_Extracts/3239/" TargetMode="External"/><Relationship Id="rId48" Type="http://schemas.openxmlformats.org/officeDocument/2006/relationships/hyperlink" Target="http://www.thefoodworld.com/food-exporters-importers/Soya_Sauce/2676/" TargetMode="External"/><Relationship Id="rId56" Type="http://schemas.openxmlformats.org/officeDocument/2006/relationships/hyperlink" Target="http://www.cbi.eu/?pag=4" TargetMode="External"/><Relationship Id="rId8" Type="http://schemas.openxmlformats.org/officeDocument/2006/relationships/image" Target="media/image1.jpeg"/><Relationship Id="rId51" Type="http://schemas.openxmlformats.org/officeDocument/2006/relationships/hyperlink" Target="http://www.thefoodworld.com/food-exporters-importers/Vegetable_Oil/728/" TargetMode="External"/><Relationship Id="rId3" Type="http://schemas.openxmlformats.org/officeDocument/2006/relationships/styles" Target="styles.xml"/><Relationship Id="rId12" Type="http://schemas.openxmlformats.org/officeDocument/2006/relationships/hyperlink" Target="mailto:marketanalysis@intracen.org" TargetMode="External"/><Relationship Id="rId17" Type="http://schemas.openxmlformats.org/officeDocument/2006/relationships/chart" Target="charts/chart2.xml"/><Relationship Id="rId25" Type="http://schemas.openxmlformats.org/officeDocument/2006/relationships/hyperlink" Target="http://www.thefoodworld.com/food-exporters-importers/Pickles/90/" TargetMode="External"/><Relationship Id="rId33" Type="http://schemas.openxmlformats.org/officeDocument/2006/relationships/hyperlink" Target="http://www.thefoodworld.com/food-exporters-importers/Salt/11/" TargetMode="External"/><Relationship Id="rId38" Type="http://schemas.openxmlformats.org/officeDocument/2006/relationships/hyperlink" Target="http://www.thefoodworld.com/food-exporters-importers/Canned_Fruits/1/" TargetMode="External"/><Relationship Id="rId46" Type="http://schemas.openxmlformats.org/officeDocument/2006/relationships/hyperlink" Target="http://www.thefoodworld.com/food-exporters-importers/Ketchup/8/" TargetMode="External"/><Relationship Id="rId59" Type="http://schemas.openxmlformats.org/officeDocument/2006/relationships/hyperlink" Target="mailto:marketinfo@cbi.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coomd.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scheltema\AppData\Local\Temp\psdResult.aspx-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RV1\RedirectedFolders\LKotze\My%20Documents\Data\IMF\Commodity%20prices%204%20May%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'psdResult.aspx-1'!$E$2</c:f>
              <c:strCache>
                <c:ptCount val="1"/>
                <c:pt idx="0">
                  <c:v>2010/2011</c:v>
                </c:pt>
              </c:strCache>
            </c:strRef>
          </c:tx>
          <c:cat>
            <c:strRef>
              <c:f>'psdResult.aspx-1'!$D$3:$D$12</c:f>
              <c:strCache>
                <c:ptCount val="10"/>
                <c:pt idx="0">
                  <c:v>Ukraine</c:v>
                </c:pt>
                <c:pt idx="1">
                  <c:v>EU-27</c:v>
                </c:pt>
                <c:pt idx="2">
                  <c:v>Russia</c:v>
                </c:pt>
                <c:pt idx="3">
                  <c:v>Argentina</c:v>
                </c:pt>
                <c:pt idx="4">
                  <c:v>Turkey</c:v>
                </c:pt>
                <c:pt idx="5">
                  <c:v>Pakistan</c:v>
                </c:pt>
                <c:pt idx="6">
                  <c:v>China</c:v>
                </c:pt>
                <c:pt idx="7">
                  <c:v>United States</c:v>
                </c:pt>
                <c:pt idx="8">
                  <c:v>South Africa</c:v>
                </c:pt>
                <c:pt idx="9">
                  <c:v>Serbia</c:v>
                </c:pt>
              </c:strCache>
            </c:strRef>
          </c:cat>
          <c:val>
            <c:numRef>
              <c:f>'psdResult.aspx-1'!$E$3:$E$12</c:f>
              <c:numCache>
                <c:formatCode>General</c:formatCode>
                <c:ptCount val="10"/>
                <c:pt idx="0">
                  <c:v>2667</c:v>
                </c:pt>
                <c:pt idx="1">
                  <c:v>2536</c:v>
                </c:pt>
                <c:pt idx="2">
                  <c:v>2082</c:v>
                </c:pt>
                <c:pt idx="3">
                  <c:v>1180</c:v>
                </c:pt>
                <c:pt idx="4">
                  <c:v>607</c:v>
                </c:pt>
                <c:pt idx="5">
                  <c:v>309</c:v>
                </c:pt>
                <c:pt idx="6">
                  <c:v>306</c:v>
                </c:pt>
                <c:pt idx="7">
                  <c:v>284</c:v>
                </c:pt>
                <c:pt idx="8">
                  <c:v>272</c:v>
                </c:pt>
                <c:pt idx="9">
                  <c:v>170</c:v>
                </c:pt>
              </c:numCache>
            </c:numRef>
          </c:val>
        </c:ser>
        <c:axId val="75673600"/>
        <c:axId val="75675136"/>
      </c:barChart>
      <c:catAx>
        <c:axId val="75673600"/>
        <c:scaling>
          <c:orientation val="minMax"/>
        </c:scaling>
        <c:axPos val="b"/>
        <c:tickLblPos val="nextTo"/>
        <c:txPr>
          <a:bodyPr rot="-5400000" vert="horz"/>
          <a:lstStyle/>
          <a:p>
            <a:pPr>
              <a:defRPr lang="en-ZA"/>
            </a:pPr>
            <a:endParaRPr lang="en-US"/>
          </a:p>
        </c:txPr>
        <c:crossAx val="75675136"/>
        <c:crosses val="autoZero"/>
        <c:auto val="1"/>
        <c:lblAlgn val="ctr"/>
        <c:lblOffset val="100"/>
      </c:catAx>
      <c:valAx>
        <c:axId val="75675136"/>
        <c:scaling>
          <c:orientation val="minMax"/>
        </c:scaling>
        <c:axPos val="l"/>
        <c:majorGridlines/>
        <c:title>
          <c:tx>
            <c:rich>
              <a:bodyPr rot="-5400000" vert="horz"/>
              <a:lstStyle/>
              <a:p>
                <a:pPr>
                  <a:defRPr lang="en-ZA"/>
                </a:pPr>
                <a:r>
                  <a:rPr lang="en-ZA"/>
                  <a:t>Production (1000 MT)</a:t>
                </a:r>
              </a:p>
            </c:rich>
          </c:tx>
        </c:title>
        <c:numFmt formatCode="General" sourceLinked="1"/>
        <c:tickLblPos val="nextTo"/>
        <c:txPr>
          <a:bodyPr/>
          <a:lstStyle/>
          <a:p>
            <a:pPr>
              <a:defRPr lang="en-ZA"/>
            </a:pPr>
            <a:endParaRPr lang="en-US"/>
          </a:p>
        </c:txPr>
        <c:crossAx val="756736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378018372703447"/>
          <c:y val="4.6770924467774859E-2"/>
          <c:w val="0.74041185476815385"/>
          <c:h val="0.6318338468561"/>
        </c:manualLayout>
      </c:layout>
      <c:lineChart>
        <c:grouping val="standard"/>
        <c:ser>
          <c:idx val="1"/>
          <c:order val="1"/>
          <c:tx>
            <c:strRef>
              <c:f>Sheet1!$E$6</c:f>
              <c:strCache>
                <c:ptCount val="1"/>
                <c:pt idx="0">
                  <c:v>Value of oils and fats sales</c:v>
                </c:pt>
              </c:strCache>
            </c:strRef>
          </c:tx>
          <c:cat>
            <c:numRef>
              <c:f>Sheet1!$C$7:$C$17</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Sheet1!$E$7:$E$17</c:f>
              <c:numCache>
                <c:formatCode>General</c:formatCode>
                <c:ptCount val="11"/>
                <c:pt idx="0">
                  <c:v>1187.0999999999999</c:v>
                </c:pt>
                <c:pt idx="1">
                  <c:v>1226.4000000000001</c:v>
                </c:pt>
                <c:pt idx="2">
                  <c:v>1289</c:v>
                </c:pt>
                <c:pt idx="3">
                  <c:v>1435</c:v>
                </c:pt>
                <c:pt idx="4">
                  <c:v>1447</c:v>
                </c:pt>
                <c:pt idx="5">
                  <c:v>1472.5</c:v>
                </c:pt>
              </c:numCache>
            </c:numRef>
          </c:val>
        </c:ser>
        <c:marker val="1"/>
        <c:axId val="75836032"/>
        <c:axId val="75837824"/>
      </c:lineChart>
      <c:lineChart>
        <c:grouping val="standard"/>
        <c:ser>
          <c:idx val="0"/>
          <c:order val="0"/>
          <c:tx>
            <c:strRef>
              <c:f>Sheet1!$D$6</c:f>
              <c:strCache>
                <c:ptCount val="1"/>
                <c:pt idx="0">
                  <c:v>Volume oils and fats sales </c:v>
                </c:pt>
              </c:strCache>
            </c:strRef>
          </c:tx>
          <c:cat>
            <c:numRef>
              <c:f>Sheet1!$C$7:$C$17</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Sheet1!$D$7:$D$17</c:f>
              <c:numCache>
                <c:formatCode>General</c:formatCode>
                <c:ptCount val="11"/>
                <c:pt idx="0">
                  <c:v>581.1</c:v>
                </c:pt>
                <c:pt idx="1">
                  <c:v>591.4</c:v>
                </c:pt>
                <c:pt idx="2">
                  <c:v>582.79999999999995</c:v>
                </c:pt>
                <c:pt idx="3">
                  <c:v>598.79999999999995</c:v>
                </c:pt>
                <c:pt idx="4">
                  <c:v>610.70000000000005</c:v>
                </c:pt>
                <c:pt idx="5">
                  <c:v>618.79999999999995</c:v>
                </c:pt>
                <c:pt idx="6">
                  <c:v>642.5</c:v>
                </c:pt>
                <c:pt idx="7">
                  <c:v>630.6</c:v>
                </c:pt>
                <c:pt idx="8">
                  <c:v>637.9</c:v>
                </c:pt>
                <c:pt idx="9">
                  <c:v>645.70000000000005</c:v>
                </c:pt>
                <c:pt idx="10">
                  <c:v>653.9</c:v>
                </c:pt>
              </c:numCache>
            </c:numRef>
          </c:val>
        </c:ser>
        <c:marker val="1"/>
        <c:axId val="75846016"/>
        <c:axId val="75839744"/>
      </c:lineChart>
      <c:catAx>
        <c:axId val="75836032"/>
        <c:scaling>
          <c:orientation val="minMax"/>
        </c:scaling>
        <c:axPos val="b"/>
        <c:numFmt formatCode="General" sourceLinked="1"/>
        <c:tickLblPos val="nextTo"/>
        <c:txPr>
          <a:bodyPr rot="-5400000" vert="horz"/>
          <a:lstStyle/>
          <a:p>
            <a:pPr>
              <a:defRPr/>
            </a:pPr>
            <a:endParaRPr lang="en-US"/>
          </a:p>
        </c:txPr>
        <c:crossAx val="75837824"/>
        <c:crosses val="autoZero"/>
        <c:auto val="1"/>
        <c:lblAlgn val="ctr"/>
        <c:lblOffset val="100"/>
      </c:catAx>
      <c:valAx>
        <c:axId val="75837824"/>
        <c:scaling>
          <c:orientation val="minMax"/>
        </c:scaling>
        <c:axPos val="l"/>
        <c:majorGridlines/>
        <c:title>
          <c:tx>
            <c:rich>
              <a:bodyPr rot="-5400000" vert="horz"/>
              <a:lstStyle/>
              <a:p>
                <a:pPr>
                  <a:defRPr/>
                </a:pPr>
                <a:r>
                  <a:rPr lang="en-US"/>
                  <a:t>million</a:t>
                </a:r>
                <a:r>
                  <a:rPr lang="en-US" baseline="0"/>
                  <a:t> £</a:t>
                </a:r>
                <a:endParaRPr lang="en-US"/>
              </a:p>
            </c:rich>
          </c:tx>
          <c:layout>
            <c:manualLayout>
              <c:xMode val="edge"/>
              <c:yMode val="edge"/>
              <c:x val="1.1111111111111125E-2"/>
              <c:y val="0.27879337999416742"/>
            </c:manualLayout>
          </c:layout>
        </c:title>
        <c:numFmt formatCode="General" sourceLinked="1"/>
        <c:tickLblPos val="nextTo"/>
        <c:crossAx val="75836032"/>
        <c:crosses val="autoZero"/>
        <c:crossBetween val="between"/>
      </c:valAx>
      <c:valAx>
        <c:axId val="75839744"/>
        <c:scaling>
          <c:orientation val="minMax"/>
        </c:scaling>
        <c:axPos val="r"/>
        <c:title>
          <c:tx>
            <c:rich>
              <a:bodyPr rot="-5400000" vert="horz"/>
              <a:lstStyle/>
              <a:p>
                <a:pPr>
                  <a:defRPr/>
                </a:pPr>
                <a:r>
                  <a:rPr lang="en-US"/>
                  <a:t>'000 tons</a:t>
                </a:r>
              </a:p>
            </c:rich>
          </c:tx>
          <c:layout>
            <c:manualLayout>
              <c:xMode val="edge"/>
              <c:yMode val="edge"/>
              <c:x val="0.95220822397200355"/>
              <c:y val="0.26496245261009033"/>
            </c:manualLayout>
          </c:layout>
        </c:title>
        <c:numFmt formatCode="General" sourceLinked="1"/>
        <c:tickLblPos val="nextTo"/>
        <c:crossAx val="75846016"/>
        <c:crosses val="max"/>
        <c:crossBetween val="between"/>
      </c:valAx>
      <c:catAx>
        <c:axId val="75846016"/>
        <c:scaling>
          <c:orientation val="minMax"/>
        </c:scaling>
        <c:delete val="1"/>
        <c:axPos val="b"/>
        <c:numFmt formatCode="General" sourceLinked="1"/>
        <c:tickLblPos val="none"/>
        <c:crossAx val="75839744"/>
        <c:crosses val="autoZero"/>
        <c:auto val="1"/>
        <c:lblAlgn val="ctr"/>
        <c:lblOffset val="100"/>
      </c:catAx>
    </c:plotArea>
    <c:legend>
      <c:legendPos val="b"/>
      <c:layout>
        <c:manualLayout>
          <c:xMode val="edge"/>
          <c:yMode val="edge"/>
          <c:x val="6.4183289588801498E-2"/>
          <c:y val="0.91628280839894949"/>
          <c:w val="0.8716332020997386"/>
          <c:h val="8.3717191601049998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Sheet3!$E$6</c:f>
              <c:strCache>
                <c:ptCount val="1"/>
                <c:pt idx="0">
                  <c:v>ValueUS$</c:v>
                </c:pt>
              </c:strCache>
            </c:strRef>
          </c:tx>
          <c:cat>
            <c:strRef>
              <c:f>Sheet3!$D$7:$D$10</c:f>
              <c:strCache>
                <c:ptCount val="4"/>
                <c:pt idx="0">
                  <c:v>2006</c:v>
                </c:pt>
                <c:pt idx="1">
                  <c:v>2007</c:v>
                </c:pt>
                <c:pt idx="2">
                  <c:v>2008</c:v>
                </c:pt>
                <c:pt idx="3">
                  <c:v>2009</c:v>
                </c:pt>
              </c:strCache>
            </c:strRef>
          </c:cat>
          <c:val>
            <c:numRef>
              <c:f>Sheet3!$E$7:$E$10</c:f>
              <c:numCache>
                <c:formatCode>0</c:formatCode>
                <c:ptCount val="4"/>
                <c:pt idx="0">
                  <c:v>1496566</c:v>
                </c:pt>
                <c:pt idx="1">
                  <c:v>1668815</c:v>
                </c:pt>
                <c:pt idx="2">
                  <c:v>2522756</c:v>
                </c:pt>
                <c:pt idx="3">
                  <c:v>2075940</c:v>
                </c:pt>
              </c:numCache>
            </c:numRef>
          </c:val>
        </c:ser>
        <c:axId val="75857280"/>
        <c:axId val="75871360"/>
      </c:barChart>
      <c:catAx>
        <c:axId val="75857280"/>
        <c:scaling>
          <c:orientation val="minMax"/>
        </c:scaling>
        <c:axPos val="b"/>
        <c:tickLblPos val="nextTo"/>
        <c:txPr>
          <a:bodyPr/>
          <a:lstStyle/>
          <a:p>
            <a:pPr>
              <a:defRPr lang="en-ZA"/>
            </a:pPr>
            <a:endParaRPr lang="en-US"/>
          </a:p>
        </c:txPr>
        <c:crossAx val="75871360"/>
        <c:crosses val="autoZero"/>
        <c:auto val="1"/>
        <c:lblAlgn val="ctr"/>
        <c:lblOffset val="100"/>
      </c:catAx>
      <c:valAx>
        <c:axId val="75871360"/>
        <c:scaling>
          <c:orientation val="minMax"/>
        </c:scaling>
        <c:axPos val="l"/>
        <c:majorGridlines/>
        <c:title>
          <c:tx>
            <c:rich>
              <a:bodyPr rot="-5400000" vert="horz"/>
              <a:lstStyle/>
              <a:p>
                <a:pPr>
                  <a:defRPr lang="en-ZA"/>
                </a:pPr>
                <a:r>
                  <a:rPr lang="en-ZA"/>
                  <a:t>Value (USD  thousand)</a:t>
                </a:r>
              </a:p>
            </c:rich>
          </c:tx>
        </c:title>
        <c:numFmt formatCode="0" sourceLinked="1"/>
        <c:tickLblPos val="nextTo"/>
        <c:txPr>
          <a:bodyPr/>
          <a:lstStyle/>
          <a:p>
            <a:pPr>
              <a:defRPr lang="en-ZA"/>
            </a:pPr>
            <a:endParaRPr lang="en-US"/>
          </a:p>
        </c:txPr>
        <c:crossAx val="7585728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001307917318419"/>
          <c:y val="5.1400554097404488E-2"/>
          <c:w val="0.7978862995660897"/>
          <c:h val="0.57362459900845764"/>
        </c:manualLayout>
      </c:layout>
      <c:lineChart>
        <c:grouping val="standard"/>
        <c:ser>
          <c:idx val="0"/>
          <c:order val="0"/>
          <c:tx>
            <c:strRef>
              <c:f>Sheet1!$D$9</c:f>
              <c:strCache>
                <c:ptCount val="1"/>
                <c:pt idx="0">
                  <c:v>Sunflower oil, Sunflower Oil, US export price from Gulf of Mexico, US$ per metric tonne</c:v>
                </c:pt>
              </c:strCache>
            </c:strRef>
          </c:tx>
          <c:cat>
            <c:strRef>
              <c:f>Sheet1!$C$10:$C$60</c:f>
              <c:strCache>
                <c:ptCount val="51"/>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strCache>
            </c:strRef>
          </c:cat>
          <c:val>
            <c:numRef>
              <c:f>Sheet1!$D$10:$D$60</c:f>
              <c:numCache>
                <c:formatCode>General</c:formatCode>
                <c:ptCount val="51"/>
                <c:pt idx="0">
                  <c:v>673</c:v>
                </c:pt>
                <c:pt idx="1">
                  <c:v>673</c:v>
                </c:pt>
                <c:pt idx="2">
                  <c:v>673</c:v>
                </c:pt>
                <c:pt idx="3">
                  <c:v>673</c:v>
                </c:pt>
                <c:pt idx="4">
                  <c:v>673</c:v>
                </c:pt>
                <c:pt idx="5">
                  <c:v>673</c:v>
                </c:pt>
                <c:pt idx="6">
                  <c:v>673</c:v>
                </c:pt>
                <c:pt idx="7">
                  <c:v>673</c:v>
                </c:pt>
                <c:pt idx="8">
                  <c:v>673</c:v>
                </c:pt>
                <c:pt idx="9">
                  <c:v>673</c:v>
                </c:pt>
                <c:pt idx="10">
                  <c:v>673</c:v>
                </c:pt>
                <c:pt idx="11">
                  <c:v>673</c:v>
                </c:pt>
                <c:pt idx="12">
                  <c:v>673</c:v>
                </c:pt>
                <c:pt idx="13">
                  <c:v>673</c:v>
                </c:pt>
                <c:pt idx="14">
                  <c:v>1303.0999999999999</c:v>
                </c:pt>
                <c:pt idx="15">
                  <c:v>2177.36</c:v>
                </c:pt>
                <c:pt idx="16">
                  <c:v>2214.5500000000002</c:v>
                </c:pt>
                <c:pt idx="17">
                  <c:v>2300.19</c:v>
                </c:pt>
                <c:pt idx="18">
                  <c:v>2267.7399999999998</c:v>
                </c:pt>
                <c:pt idx="19">
                  <c:v>2060.2399999999998</c:v>
                </c:pt>
                <c:pt idx="20">
                  <c:v>1948.82</c:v>
                </c:pt>
                <c:pt idx="21">
                  <c:v>1724.3899999999999</c:v>
                </c:pt>
                <c:pt idx="22">
                  <c:v>1624.4</c:v>
                </c:pt>
                <c:pt idx="23">
                  <c:v>1357</c:v>
                </c:pt>
                <c:pt idx="24">
                  <c:v>1211.3599999999999</c:v>
                </c:pt>
                <c:pt idx="25">
                  <c:v>1038.0999999999999</c:v>
                </c:pt>
                <c:pt idx="26">
                  <c:v>831.41</c:v>
                </c:pt>
                <c:pt idx="27">
                  <c:v>929.05</c:v>
                </c:pt>
                <c:pt idx="28">
                  <c:v>1043.81</c:v>
                </c:pt>
                <c:pt idx="29">
                  <c:v>1115.55</c:v>
                </c:pt>
                <c:pt idx="30">
                  <c:v>1021.87</c:v>
                </c:pt>
                <c:pt idx="31">
                  <c:v>1078.9000000000001</c:v>
                </c:pt>
                <c:pt idx="32">
                  <c:v>1021.41</c:v>
                </c:pt>
                <c:pt idx="33">
                  <c:v>1005.23</c:v>
                </c:pt>
                <c:pt idx="34">
                  <c:v>1070.43</c:v>
                </c:pt>
                <c:pt idx="35">
                  <c:v>1132.9100000000001</c:v>
                </c:pt>
                <c:pt idx="36">
                  <c:v>1113.6199999999999</c:v>
                </c:pt>
                <c:pt idx="37">
                  <c:v>1091.4000000000001</c:v>
                </c:pt>
                <c:pt idx="38">
                  <c:v>1105.22</c:v>
                </c:pt>
                <c:pt idx="39">
                  <c:v>1132.77</c:v>
                </c:pt>
                <c:pt idx="40">
                  <c:v>1102.52</c:v>
                </c:pt>
                <c:pt idx="41">
                  <c:v>1090.32</c:v>
                </c:pt>
                <c:pt idx="42">
                  <c:v>1094.77</c:v>
                </c:pt>
                <c:pt idx="43">
                  <c:v>1140.05</c:v>
                </c:pt>
                <c:pt idx="44">
                  <c:v>1195.1799999999998</c:v>
                </c:pt>
                <c:pt idx="45">
                  <c:v>1304.1399999999999</c:v>
                </c:pt>
                <c:pt idx="46">
                  <c:v>1395.77</c:v>
                </c:pt>
                <c:pt idx="47">
                  <c:v>1466.26</c:v>
                </c:pt>
                <c:pt idx="48">
                  <c:v>1528.95</c:v>
                </c:pt>
                <c:pt idx="49">
                  <c:v>1591.5</c:v>
                </c:pt>
                <c:pt idx="50">
                  <c:v>1576.96</c:v>
                </c:pt>
              </c:numCache>
            </c:numRef>
          </c:val>
        </c:ser>
        <c:marker val="1"/>
        <c:axId val="75773056"/>
        <c:axId val="75774592"/>
      </c:lineChart>
      <c:lineChart>
        <c:grouping val="standard"/>
        <c:ser>
          <c:idx val="1"/>
          <c:order val="1"/>
          <c:tx>
            <c:strRef>
              <c:f>Sheet1!$E$9</c:f>
              <c:strCache>
                <c:ptCount val="1"/>
                <c:pt idx="0">
                  <c:v>Oil; Average of U.K. Brent, Dubai, and West Texas Intermediate</c:v>
                </c:pt>
              </c:strCache>
            </c:strRef>
          </c:tx>
          <c:cat>
            <c:strRef>
              <c:f>Sheet1!$C$10:$C$60</c:f>
              <c:strCache>
                <c:ptCount val="51"/>
                <c:pt idx="0">
                  <c:v>2007M01</c:v>
                </c:pt>
                <c:pt idx="1">
                  <c:v>2007M02</c:v>
                </c:pt>
                <c:pt idx="2">
                  <c:v>2007M03</c:v>
                </c:pt>
                <c:pt idx="3">
                  <c:v>2007M04</c:v>
                </c:pt>
                <c:pt idx="4">
                  <c:v>2007M05</c:v>
                </c:pt>
                <c:pt idx="5">
                  <c:v>2007M06</c:v>
                </c:pt>
                <c:pt idx="6">
                  <c:v>2007M07</c:v>
                </c:pt>
                <c:pt idx="7">
                  <c:v>2007M08</c:v>
                </c:pt>
                <c:pt idx="8">
                  <c:v>2007M09</c:v>
                </c:pt>
                <c:pt idx="9">
                  <c:v>2007M10</c:v>
                </c:pt>
                <c:pt idx="10">
                  <c:v>2007M11</c:v>
                </c:pt>
                <c:pt idx="11">
                  <c:v>2007M12</c:v>
                </c:pt>
                <c:pt idx="12">
                  <c:v>2008M01</c:v>
                </c:pt>
                <c:pt idx="13">
                  <c:v>2008M02</c:v>
                </c:pt>
                <c:pt idx="14">
                  <c:v>2008M03</c:v>
                </c:pt>
                <c:pt idx="15">
                  <c:v>2008M04</c:v>
                </c:pt>
                <c:pt idx="16">
                  <c:v>2008M05</c:v>
                </c:pt>
                <c:pt idx="17">
                  <c:v>2008M06</c:v>
                </c:pt>
                <c:pt idx="18">
                  <c:v>2008M07</c:v>
                </c:pt>
                <c:pt idx="19">
                  <c:v>2008M08</c:v>
                </c:pt>
                <c:pt idx="20">
                  <c:v>2008M09</c:v>
                </c:pt>
                <c:pt idx="21">
                  <c:v>2008M10</c:v>
                </c:pt>
                <c:pt idx="22">
                  <c:v>2008M11</c:v>
                </c:pt>
                <c:pt idx="23">
                  <c:v>2008M12</c:v>
                </c:pt>
                <c:pt idx="24">
                  <c:v>2009M01</c:v>
                </c:pt>
                <c:pt idx="25">
                  <c:v>2009M02</c:v>
                </c:pt>
                <c:pt idx="26">
                  <c:v>2009M03</c:v>
                </c:pt>
                <c:pt idx="27">
                  <c:v>2009M04</c:v>
                </c:pt>
                <c:pt idx="28">
                  <c:v>2009M05</c:v>
                </c:pt>
                <c:pt idx="29">
                  <c:v>2009M06</c:v>
                </c:pt>
                <c:pt idx="30">
                  <c:v>2009M07</c:v>
                </c:pt>
                <c:pt idx="31">
                  <c:v>2009M08</c:v>
                </c:pt>
                <c:pt idx="32">
                  <c:v>2009M09</c:v>
                </c:pt>
                <c:pt idx="33">
                  <c:v>2009M10</c:v>
                </c:pt>
                <c:pt idx="34">
                  <c:v>2009M11</c:v>
                </c:pt>
                <c:pt idx="35">
                  <c:v>2009M12</c:v>
                </c:pt>
                <c:pt idx="36">
                  <c:v>2010M01</c:v>
                </c:pt>
                <c:pt idx="37">
                  <c:v>2010M02</c:v>
                </c:pt>
                <c:pt idx="38">
                  <c:v>2010M03</c:v>
                </c:pt>
                <c:pt idx="39">
                  <c:v>2010M04</c:v>
                </c:pt>
                <c:pt idx="40">
                  <c:v>2010M05</c:v>
                </c:pt>
                <c:pt idx="41">
                  <c:v>2010M06</c:v>
                </c:pt>
                <c:pt idx="42">
                  <c:v>2010M07</c:v>
                </c:pt>
                <c:pt idx="43">
                  <c:v>2010M08</c:v>
                </c:pt>
                <c:pt idx="44">
                  <c:v>2010M09</c:v>
                </c:pt>
                <c:pt idx="45">
                  <c:v>2010M10</c:v>
                </c:pt>
                <c:pt idx="46">
                  <c:v>2010M11</c:v>
                </c:pt>
                <c:pt idx="47">
                  <c:v>2010M12</c:v>
                </c:pt>
                <c:pt idx="48">
                  <c:v>2011M01</c:v>
                </c:pt>
                <c:pt idx="49">
                  <c:v>2011M02</c:v>
                </c:pt>
                <c:pt idx="50">
                  <c:v>2011M03</c:v>
                </c:pt>
              </c:strCache>
            </c:strRef>
          </c:cat>
          <c:val>
            <c:numRef>
              <c:f>Sheet1!$E$10:$E$60</c:f>
              <c:numCache>
                <c:formatCode>General</c:formatCode>
                <c:ptCount val="51"/>
                <c:pt idx="0">
                  <c:v>53.4</c:v>
                </c:pt>
                <c:pt idx="1">
                  <c:v>57.58</c:v>
                </c:pt>
                <c:pt idx="2">
                  <c:v>60.6</c:v>
                </c:pt>
                <c:pt idx="3">
                  <c:v>65.099999999999994</c:v>
                </c:pt>
                <c:pt idx="4">
                  <c:v>65.099999999999994</c:v>
                </c:pt>
                <c:pt idx="5">
                  <c:v>68.19</c:v>
                </c:pt>
                <c:pt idx="6">
                  <c:v>73.669999999999987</c:v>
                </c:pt>
                <c:pt idx="7">
                  <c:v>70.13</c:v>
                </c:pt>
                <c:pt idx="8">
                  <c:v>76.910000000000025</c:v>
                </c:pt>
                <c:pt idx="9">
                  <c:v>82.149999999999991</c:v>
                </c:pt>
                <c:pt idx="10">
                  <c:v>91.27</c:v>
                </c:pt>
                <c:pt idx="11">
                  <c:v>89.43</c:v>
                </c:pt>
                <c:pt idx="12">
                  <c:v>90.82</c:v>
                </c:pt>
                <c:pt idx="13">
                  <c:v>93.75</c:v>
                </c:pt>
                <c:pt idx="14">
                  <c:v>101.84</c:v>
                </c:pt>
                <c:pt idx="15">
                  <c:v>109.05</c:v>
                </c:pt>
                <c:pt idx="16">
                  <c:v>122.77</c:v>
                </c:pt>
                <c:pt idx="17">
                  <c:v>131.52000000000001</c:v>
                </c:pt>
                <c:pt idx="18">
                  <c:v>132.55000000000001</c:v>
                </c:pt>
                <c:pt idx="19">
                  <c:v>114.57</c:v>
                </c:pt>
                <c:pt idx="20">
                  <c:v>99.29</c:v>
                </c:pt>
                <c:pt idx="21">
                  <c:v>72.69</c:v>
                </c:pt>
                <c:pt idx="22">
                  <c:v>54.04</c:v>
                </c:pt>
                <c:pt idx="23">
                  <c:v>41.53</c:v>
                </c:pt>
                <c:pt idx="24">
                  <c:v>43.91</c:v>
                </c:pt>
                <c:pt idx="25">
                  <c:v>41.760000000000012</c:v>
                </c:pt>
                <c:pt idx="26">
                  <c:v>46.95</c:v>
                </c:pt>
                <c:pt idx="27">
                  <c:v>50.28</c:v>
                </c:pt>
                <c:pt idx="28">
                  <c:v>58.1</c:v>
                </c:pt>
                <c:pt idx="29">
                  <c:v>69.13</c:v>
                </c:pt>
                <c:pt idx="30">
                  <c:v>64.649999999999991</c:v>
                </c:pt>
                <c:pt idx="31">
                  <c:v>71.63</c:v>
                </c:pt>
                <c:pt idx="32">
                  <c:v>68.38</c:v>
                </c:pt>
                <c:pt idx="33">
                  <c:v>74.08</c:v>
                </c:pt>
                <c:pt idx="34">
                  <c:v>77.56</c:v>
                </c:pt>
                <c:pt idx="35">
                  <c:v>74.88</c:v>
                </c:pt>
                <c:pt idx="36">
                  <c:v>77.11999999999999</c:v>
                </c:pt>
                <c:pt idx="37">
                  <c:v>74.72</c:v>
                </c:pt>
                <c:pt idx="38">
                  <c:v>79.3</c:v>
                </c:pt>
                <c:pt idx="39">
                  <c:v>84.14</c:v>
                </c:pt>
                <c:pt idx="40">
                  <c:v>75.540000000000006</c:v>
                </c:pt>
                <c:pt idx="41">
                  <c:v>74.73</c:v>
                </c:pt>
                <c:pt idx="42">
                  <c:v>74.52</c:v>
                </c:pt>
                <c:pt idx="43">
                  <c:v>75.88</c:v>
                </c:pt>
                <c:pt idx="44">
                  <c:v>76.11</c:v>
                </c:pt>
                <c:pt idx="45">
                  <c:v>81.72</c:v>
                </c:pt>
                <c:pt idx="46">
                  <c:v>84.53</c:v>
                </c:pt>
                <c:pt idx="47">
                  <c:v>90.07</c:v>
                </c:pt>
                <c:pt idx="48">
                  <c:v>92.66</c:v>
                </c:pt>
                <c:pt idx="49">
                  <c:v>97.73</c:v>
                </c:pt>
                <c:pt idx="50">
                  <c:v>108.64999999999999</c:v>
                </c:pt>
              </c:numCache>
            </c:numRef>
          </c:val>
        </c:ser>
        <c:marker val="1"/>
        <c:axId val="75786880"/>
        <c:axId val="75784960"/>
      </c:lineChart>
      <c:catAx>
        <c:axId val="75773056"/>
        <c:scaling>
          <c:orientation val="minMax"/>
        </c:scaling>
        <c:axPos val="b"/>
        <c:tickLblPos val="nextTo"/>
        <c:crossAx val="75774592"/>
        <c:crosses val="autoZero"/>
        <c:auto val="1"/>
        <c:lblAlgn val="ctr"/>
        <c:lblOffset val="100"/>
      </c:catAx>
      <c:valAx>
        <c:axId val="75774592"/>
        <c:scaling>
          <c:orientation val="minMax"/>
        </c:scaling>
        <c:axPos val="l"/>
        <c:majorGridlines/>
        <c:title>
          <c:tx>
            <c:rich>
              <a:bodyPr rot="-5400000" vert="horz"/>
              <a:lstStyle/>
              <a:p>
                <a:pPr>
                  <a:defRPr/>
                </a:pPr>
                <a:r>
                  <a:rPr lang="en-US"/>
                  <a:t>US$ per metric ton</a:t>
                </a:r>
              </a:p>
            </c:rich>
          </c:tx>
        </c:title>
        <c:numFmt formatCode="General" sourceLinked="1"/>
        <c:tickLblPos val="nextTo"/>
        <c:crossAx val="75773056"/>
        <c:crosses val="autoZero"/>
        <c:crossBetween val="between"/>
      </c:valAx>
      <c:valAx>
        <c:axId val="75784960"/>
        <c:scaling>
          <c:orientation val="minMax"/>
        </c:scaling>
        <c:axPos val="r"/>
        <c:title>
          <c:tx>
            <c:rich>
              <a:bodyPr rot="-5400000" vert="horz"/>
              <a:lstStyle/>
              <a:p>
                <a:pPr>
                  <a:defRPr/>
                </a:pPr>
                <a:r>
                  <a:rPr lang="en-US"/>
                  <a:t>US$ per barrel</a:t>
                </a:r>
              </a:p>
            </c:rich>
          </c:tx>
        </c:title>
        <c:numFmt formatCode="General" sourceLinked="1"/>
        <c:tickLblPos val="nextTo"/>
        <c:crossAx val="75786880"/>
        <c:crosses val="max"/>
        <c:crossBetween val="between"/>
      </c:valAx>
      <c:catAx>
        <c:axId val="75786880"/>
        <c:scaling>
          <c:orientation val="minMax"/>
        </c:scaling>
        <c:delete val="1"/>
        <c:axPos val="b"/>
        <c:tickLblPos val="none"/>
        <c:crossAx val="75784960"/>
        <c:crosses val="autoZero"/>
        <c:auto val="1"/>
        <c:lblAlgn val="ctr"/>
        <c:lblOffset val="100"/>
      </c:catAx>
    </c:plotArea>
    <c:legend>
      <c:legendPos val="b"/>
      <c:layout>
        <c:manualLayout>
          <c:xMode val="edge"/>
          <c:yMode val="edge"/>
          <c:x val="7.0927318295739309E-3"/>
          <c:y val="0.86227435112277662"/>
          <c:w val="0.98581453634085214"/>
          <c:h val="0.1099478710994458"/>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412FB-5E34-436C-B119-60CD38B4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7571</Words>
  <Characters>43158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The United States Market for Pineapples</vt:lpstr>
    </vt:vector>
  </TitlesOfParts>
  <Company>UW-Whitewater</Company>
  <LinksUpToDate>false</LinksUpToDate>
  <CharactersWithSpaces>50628</CharactersWithSpaces>
  <SharedDoc>false</SharedDoc>
  <HLinks>
    <vt:vector size="486" baseType="variant">
      <vt:variant>
        <vt:i4>524306</vt:i4>
      </vt:variant>
      <vt:variant>
        <vt:i4>264</vt:i4>
      </vt:variant>
      <vt:variant>
        <vt:i4>0</vt:i4>
      </vt:variant>
      <vt:variant>
        <vt:i4>5</vt:i4>
      </vt:variant>
      <vt:variant>
        <vt:lpwstr>http://www.wachovia.com/corp_inst/page/0,,14_982_4696_1137,00.html</vt:lpwstr>
      </vt:variant>
      <vt:variant>
        <vt:lpwstr/>
      </vt:variant>
      <vt:variant>
        <vt:i4>2687096</vt:i4>
      </vt:variant>
      <vt:variant>
        <vt:i4>261</vt:i4>
      </vt:variant>
      <vt:variant>
        <vt:i4>0</vt:i4>
      </vt:variant>
      <vt:variant>
        <vt:i4>5</vt:i4>
      </vt:variant>
      <vt:variant>
        <vt:lpwstr>http://www.unitedfresh.org/programs/united_research_and_education_foundation</vt:lpwstr>
      </vt:variant>
      <vt:variant>
        <vt:lpwstr/>
      </vt:variant>
      <vt:variant>
        <vt:i4>4128888</vt:i4>
      </vt:variant>
      <vt:variant>
        <vt:i4>258</vt:i4>
      </vt:variant>
      <vt:variant>
        <vt:i4>0</vt:i4>
      </vt:variant>
      <vt:variant>
        <vt:i4>5</vt:i4>
      </vt:variant>
      <vt:variant>
        <vt:lpwstr>http://www.alohafriends.com/pineapples.html</vt:lpwstr>
      </vt:variant>
      <vt:variant>
        <vt:lpwstr/>
      </vt:variant>
      <vt:variant>
        <vt:i4>6619188</vt:i4>
      </vt:variant>
      <vt:variant>
        <vt:i4>255</vt:i4>
      </vt:variant>
      <vt:variant>
        <vt:i4>0</vt:i4>
      </vt:variant>
      <vt:variant>
        <vt:i4>5</vt:i4>
      </vt:variant>
      <vt:variant>
        <vt:lpwstr>http://www.hy-vee.com/</vt:lpwstr>
      </vt:variant>
      <vt:variant>
        <vt:lpwstr/>
      </vt:variant>
      <vt:variant>
        <vt:i4>2687083</vt:i4>
      </vt:variant>
      <vt:variant>
        <vt:i4>252</vt:i4>
      </vt:variant>
      <vt:variant>
        <vt:i4>0</vt:i4>
      </vt:variant>
      <vt:variant>
        <vt:i4>5</vt:i4>
      </vt:variant>
      <vt:variant>
        <vt:lpwstr>http://www.fsafood.com/</vt:lpwstr>
      </vt:variant>
      <vt:variant>
        <vt:lpwstr/>
      </vt:variant>
      <vt:variant>
        <vt:i4>4653085</vt:i4>
      </vt:variant>
      <vt:variant>
        <vt:i4>249</vt:i4>
      </vt:variant>
      <vt:variant>
        <vt:i4>0</vt:i4>
      </vt:variant>
      <vt:variant>
        <vt:i4>5</vt:i4>
      </vt:variant>
      <vt:variant>
        <vt:lpwstr>http://www.grocerssupply.com/</vt:lpwstr>
      </vt:variant>
      <vt:variant>
        <vt:lpwstr/>
      </vt:variant>
      <vt:variant>
        <vt:i4>5636185</vt:i4>
      </vt:variant>
      <vt:variant>
        <vt:i4>246</vt:i4>
      </vt:variant>
      <vt:variant>
        <vt:i4>0</vt:i4>
      </vt:variant>
      <vt:variant>
        <vt:i4>5</vt:i4>
      </vt:variant>
      <vt:variant>
        <vt:lpwstr>http://www.unfi.com/</vt:lpwstr>
      </vt:variant>
      <vt:variant>
        <vt:lpwstr/>
      </vt:variant>
      <vt:variant>
        <vt:i4>3604525</vt:i4>
      </vt:variant>
      <vt:variant>
        <vt:i4>243</vt:i4>
      </vt:variant>
      <vt:variant>
        <vt:i4>0</vt:i4>
      </vt:variant>
      <vt:variant>
        <vt:i4>5</vt:i4>
      </vt:variant>
      <vt:variant>
        <vt:lpwstr>http://www.chrobinson.com/</vt:lpwstr>
      </vt:variant>
      <vt:variant>
        <vt:lpwstr/>
      </vt:variant>
      <vt:variant>
        <vt:i4>5111887</vt:i4>
      </vt:variant>
      <vt:variant>
        <vt:i4>240</vt:i4>
      </vt:variant>
      <vt:variant>
        <vt:i4>0</vt:i4>
      </vt:variant>
      <vt:variant>
        <vt:i4>5</vt:i4>
      </vt:variant>
      <vt:variant>
        <vt:lpwstr>http://www.chiquita.com/</vt:lpwstr>
      </vt:variant>
      <vt:variant>
        <vt:lpwstr/>
      </vt:variant>
      <vt:variant>
        <vt:i4>5308490</vt:i4>
      </vt:variant>
      <vt:variant>
        <vt:i4>237</vt:i4>
      </vt:variant>
      <vt:variant>
        <vt:i4>0</vt:i4>
      </vt:variant>
      <vt:variant>
        <vt:i4>5</vt:i4>
      </vt:variant>
      <vt:variant>
        <vt:lpwstr>http://www.cswg.com/</vt:lpwstr>
      </vt:variant>
      <vt:variant>
        <vt:lpwstr/>
      </vt:variant>
      <vt:variant>
        <vt:i4>5046356</vt:i4>
      </vt:variant>
      <vt:variant>
        <vt:i4>234</vt:i4>
      </vt:variant>
      <vt:variant>
        <vt:i4>0</vt:i4>
      </vt:variant>
      <vt:variant>
        <vt:i4>5</vt:i4>
      </vt:variant>
      <vt:variant>
        <vt:lpwstr>http://www.dole.com/</vt:lpwstr>
      </vt:variant>
      <vt:variant>
        <vt:lpwstr/>
      </vt:variant>
      <vt:variant>
        <vt:i4>6619188</vt:i4>
      </vt:variant>
      <vt:variant>
        <vt:i4>231</vt:i4>
      </vt:variant>
      <vt:variant>
        <vt:i4>0</vt:i4>
      </vt:variant>
      <vt:variant>
        <vt:i4>5</vt:i4>
      </vt:variant>
      <vt:variant>
        <vt:lpwstr>http://www.hy-vee.com/</vt:lpwstr>
      </vt:variant>
      <vt:variant>
        <vt:lpwstr/>
      </vt:variant>
      <vt:variant>
        <vt:i4>2490412</vt:i4>
      </vt:variant>
      <vt:variant>
        <vt:i4>228</vt:i4>
      </vt:variant>
      <vt:variant>
        <vt:i4>0</vt:i4>
      </vt:variant>
      <vt:variant>
        <vt:i4>5</vt:i4>
      </vt:variant>
      <vt:variant>
        <vt:lpwstr>http://www.target.com/</vt:lpwstr>
      </vt:variant>
      <vt:variant>
        <vt:lpwstr/>
      </vt:variant>
      <vt:variant>
        <vt:i4>3538986</vt:i4>
      </vt:variant>
      <vt:variant>
        <vt:i4>225</vt:i4>
      </vt:variant>
      <vt:variant>
        <vt:i4>0</vt:i4>
      </vt:variant>
      <vt:variant>
        <vt:i4>5</vt:i4>
      </vt:variant>
      <vt:variant>
        <vt:lpwstr>http://www.costco.com/</vt:lpwstr>
      </vt:variant>
      <vt:variant>
        <vt:lpwstr/>
      </vt:variant>
      <vt:variant>
        <vt:i4>2359353</vt:i4>
      </vt:variant>
      <vt:variant>
        <vt:i4>222</vt:i4>
      </vt:variant>
      <vt:variant>
        <vt:i4>0</vt:i4>
      </vt:variant>
      <vt:variant>
        <vt:i4>5</vt:i4>
      </vt:variant>
      <vt:variant>
        <vt:lpwstr>http://www.kroger.com/</vt:lpwstr>
      </vt:variant>
      <vt:variant>
        <vt:lpwstr/>
      </vt:variant>
      <vt:variant>
        <vt:i4>4063348</vt:i4>
      </vt:variant>
      <vt:variant>
        <vt:i4>219</vt:i4>
      </vt:variant>
      <vt:variant>
        <vt:i4>0</vt:i4>
      </vt:variant>
      <vt:variant>
        <vt:i4>5</vt:i4>
      </vt:variant>
      <vt:variant>
        <vt:lpwstr>http://www.safeway.com/</vt:lpwstr>
      </vt:variant>
      <vt:variant>
        <vt:lpwstr/>
      </vt:variant>
      <vt:variant>
        <vt:i4>6291575</vt:i4>
      </vt:variant>
      <vt:variant>
        <vt:i4>216</vt:i4>
      </vt:variant>
      <vt:variant>
        <vt:i4>0</vt:i4>
      </vt:variant>
      <vt:variant>
        <vt:i4>5</vt:i4>
      </vt:variant>
      <vt:variant>
        <vt:lpwstr>http://www.sendiks.cc/</vt:lpwstr>
      </vt:variant>
      <vt:variant>
        <vt:lpwstr/>
      </vt:variant>
      <vt:variant>
        <vt:i4>6160406</vt:i4>
      </vt:variant>
      <vt:variant>
        <vt:i4>213</vt:i4>
      </vt:variant>
      <vt:variant>
        <vt:i4>0</vt:i4>
      </vt:variant>
      <vt:variant>
        <vt:i4>5</vt:i4>
      </vt:variant>
      <vt:variant>
        <vt:lpwstr>http://www.walmartstores.com/</vt:lpwstr>
      </vt:variant>
      <vt:variant>
        <vt:lpwstr/>
      </vt:variant>
      <vt:variant>
        <vt:i4>65621</vt:i4>
      </vt:variant>
      <vt:variant>
        <vt:i4>210</vt:i4>
      </vt:variant>
      <vt:variant>
        <vt:i4>0</vt:i4>
      </vt:variant>
      <vt:variant>
        <vt:i4>5</vt:i4>
      </vt:variant>
      <vt:variant>
        <vt:lpwstr>http://www.roundy's.com/</vt:lpwstr>
      </vt:variant>
      <vt:variant>
        <vt:lpwstr/>
      </vt:variant>
      <vt:variant>
        <vt:i4>5439553</vt:i4>
      </vt:variant>
      <vt:variant>
        <vt:i4>207</vt:i4>
      </vt:variant>
      <vt:variant>
        <vt:i4>0</vt:i4>
      </vt:variant>
      <vt:variant>
        <vt:i4>5</vt:i4>
      </vt:variant>
      <vt:variant>
        <vt:lpwstr>http://www.albertsonsmarket.com/</vt:lpwstr>
      </vt:variant>
      <vt:variant>
        <vt:lpwstr/>
      </vt:variant>
      <vt:variant>
        <vt:i4>3342396</vt:i4>
      </vt:variant>
      <vt:variant>
        <vt:i4>204</vt:i4>
      </vt:variant>
      <vt:variant>
        <vt:i4>0</vt:i4>
      </vt:variant>
      <vt:variant>
        <vt:i4>5</vt:i4>
      </vt:variant>
      <vt:variant>
        <vt:lpwstr>http://www.ralphs.com/</vt:lpwstr>
      </vt:variant>
      <vt:variant>
        <vt:lpwstr/>
      </vt:variant>
      <vt:variant>
        <vt:i4>6488155</vt:i4>
      </vt:variant>
      <vt:variant>
        <vt:i4>201</vt:i4>
      </vt:variant>
      <vt:variant>
        <vt:i4>0</vt:i4>
      </vt:variant>
      <vt:variant>
        <vt:i4>5</vt:i4>
      </vt:variant>
      <vt:variant>
        <vt:lpwstr>mailto:communications@mlpmaui.com</vt:lpwstr>
      </vt:variant>
      <vt:variant>
        <vt:lpwstr/>
      </vt:variant>
      <vt:variant>
        <vt:i4>7864393</vt:i4>
      </vt:variant>
      <vt:variant>
        <vt:i4>198</vt:i4>
      </vt:variant>
      <vt:variant>
        <vt:i4>0</vt:i4>
      </vt:variant>
      <vt:variant>
        <vt:i4>5</vt:i4>
      </vt:variant>
      <vt:variant>
        <vt:lpwstr>mailto:united@unitedfresh.org</vt:lpwstr>
      </vt:variant>
      <vt:variant>
        <vt:lpwstr/>
      </vt:variant>
      <vt:variant>
        <vt:i4>3080232</vt:i4>
      </vt:variant>
      <vt:variant>
        <vt:i4>195</vt:i4>
      </vt:variant>
      <vt:variant>
        <vt:i4>0</vt:i4>
      </vt:variant>
      <vt:variant>
        <vt:i4>5</vt:i4>
      </vt:variant>
      <vt:variant>
        <vt:lpwstr>http://www.doleoceancargo.com/</vt:lpwstr>
      </vt:variant>
      <vt:variant>
        <vt:lpwstr/>
      </vt:variant>
      <vt:variant>
        <vt:i4>6553727</vt:i4>
      </vt:variant>
      <vt:variant>
        <vt:i4>189</vt:i4>
      </vt:variant>
      <vt:variant>
        <vt:i4>0</vt:i4>
      </vt:variant>
      <vt:variant>
        <vt:i4>5</vt:i4>
      </vt:variant>
      <vt:variant>
        <vt:lpwstr>http://images.google.com/imgres?imgurl=http://www.srmarchivists.org/archivesmonth/Images/Gallery/Main/pineapples.jpg&amp;imgrefurl=http://www.srmarchivists.org/archivesmonth/gallery.html&amp;h=438&amp;w=600&amp;sz=79&amp;hl=en&amp;start=60&amp;tbnid=TUyKkLPakvbl8M:&amp;tbnh=99&amp;tbnw=135&amp;prev=/images%3Fq%3Dpineapples%26start%3D54%26gbv%3D2%26ndsp%3D18%26svnum%3D10%26hl%3Den%26sa%3DN</vt:lpwstr>
      </vt:variant>
      <vt:variant>
        <vt:lpwstr/>
      </vt:variant>
      <vt:variant>
        <vt:i4>2687096</vt:i4>
      </vt:variant>
      <vt:variant>
        <vt:i4>186</vt:i4>
      </vt:variant>
      <vt:variant>
        <vt:i4>0</vt:i4>
      </vt:variant>
      <vt:variant>
        <vt:i4>5</vt:i4>
      </vt:variant>
      <vt:variant>
        <vt:lpwstr>http://www.unitedfresh.org/programs/united_research_and_education_foundation</vt:lpwstr>
      </vt:variant>
      <vt:variant>
        <vt:lpwstr/>
      </vt:variant>
      <vt:variant>
        <vt:i4>327692</vt:i4>
      </vt:variant>
      <vt:variant>
        <vt:i4>183</vt:i4>
      </vt:variant>
      <vt:variant>
        <vt:i4>0</vt:i4>
      </vt:variant>
      <vt:variant>
        <vt:i4>5</vt:i4>
      </vt:variant>
      <vt:variant>
        <vt:lpwstr>http://www.fi-events.com/</vt:lpwstr>
      </vt:variant>
      <vt:variant>
        <vt:lpwstr/>
      </vt:variant>
      <vt:variant>
        <vt:i4>5242904</vt:i4>
      </vt:variant>
      <vt:variant>
        <vt:i4>180</vt:i4>
      </vt:variant>
      <vt:variant>
        <vt:i4>0</vt:i4>
      </vt:variant>
      <vt:variant>
        <vt:i4>5</vt:i4>
      </vt:variant>
      <vt:variant>
        <vt:lpwstr>http://www.anuga.com/</vt:lpwstr>
      </vt:variant>
      <vt:variant>
        <vt:lpwstr/>
      </vt:variant>
      <vt:variant>
        <vt:i4>4653129</vt:i4>
      </vt:variant>
      <vt:variant>
        <vt:i4>177</vt:i4>
      </vt:variant>
      <vt:variant>
        <vt:i4>0</vt:i4>
      </vt:variant>
      <vt:variant>
        <vt:i4>5</vt:i4>
      </vt:variant>
      <vt:variant>
        <vt:lpwstr>http://www.sialmontreal.com/</vt:lpwstr>
      </vt:variant>
      <vt:variant>
        <vt:lpwstr/>
      </vt:variant>
      <vt:variant>
        <vt:i4>2162810</vt:i4>
      </vt:variant>
      <vt:variant>
        <vt:i4>174</vt:i4>
      </vt:variant>
      <vt:variant>
        <vt:i4>0</vt:i4>
      </vt:variant>
      <vt:variant>
        <vt:i4>5</vt:i4>
      </vt:variant>
      <vt:variant>
        <vt:lpwstr>http://www.americasfoodandbeverage.com/</vt:lpwstr>
      </vt:variant>
      <vt:variant>
        <vt:lpwstr/>
      </vt:variant>
      <vt:variant>
        <vt:i4>4784143</vt:i4>
      </vt:variant>
      <vt:variant>
        <vt:i4>171</vt:i4>
      </vt:variant>
      <vt:variant>
        <vt:i4>0</vt:i4>
      </vt:variant>
      <vt:variant>
        <vt:i4>5</vt:i4>
      </vt:variant>
      <vt:variant>
        <vt:lpwstr>http://www.fpmsa.org/</vt:lpwstr>
      </vt:variant>
      <vt:variant>
        <vt:lpwstr/>
      </vt:variant>
      <vt:variant>
        <vt:i4>3407996</vt:i4>
      </vt:variant>
      <vt:variant>
        <vt:i4>168</vt:i4>
      </vt:variant>
      <vt:variant>
        <vt:i4>0</vt:i4>
      </vt:variant>
      <vt:variant>
        <vt:i4>5</vt:i4>
      </vt:variant>
      <vt:variant>
        <vt:lpwstr>http://www.pma.com/</vt:lpwstr>
      </vt:variant>
      <vt:variant>
        <vt:lpwstr/>
      </vt:variant>
      <vt:variant>
        <vt:i4>3801128</vt:i4>
      </vt:variant>
      <vt:variant>
        <vt:i4>165</vt:i4>
      </vt:variant>
      <vt:variant>
        <vt:i4>0</vt:i4>
      </vt:variant>
      <vt:variant>
        <vt:i4>5</vt:i4>
      </vt:variant>
      <vt:variant>
        <vt:lpwstr>http://www.shcongress.com/</vt:lpwstr>
      </vt:variant>
      <vt:variant>
        <vt:lpwstr/>
      </vt:variant>
      <vt:variant>
        <vt:i4>4456478</vt:i4>
      </vt:variant>
      <vt:variant>
        <vt:i4>162</vt:i4>
      </vt:variant>
      <vt:variant>
        <vt:i4>0</vt:i4>
      </vt:variant>
      <vt:variant>
        <vt:i4>5</vt:i4>
      </vt:variant>
      <vt:variant>
        <vt:lpwstr>http://www.specialtyfood.com/</vt:lpwstr>
      </vt:variant>
      <vt:variant>
        <vt:lpwstr/>
      </vt:variant>
      <vt:variant>
        <vt:i4>5308444</vt:i4>
      </vt:variant>
      <vt:variant>
        <vt:i4>159</vt:i4>
      </vt:variant>
      <vt:variant>
        <vt:i4>0</vt:i4>
      </vt:variant>
      <vt:variant>
        <vt:i4>5</vt:i4>
      </vt:variant>
      <vt:variant>
        <vt:lpwstr>http://www.uffva.org/</vt:lpwstr>
      </vt:variant>
      <vt:variant>
        <vt:lpwstr/>
      </vt:variant>
      <vt:variant>
        <vt:i4>5111903</vt:i4>
      </vt:variant>
      <vt:variant>
        <vt:i4>156</vt:i4>
      </vt:variant>
      <vt:variant>
        <vt:i4>0</vt:i4>
      </vt:variant>
      <vt:variant>
        <vt:i4>5</vt:i4>
      </vt:variant>
      <vt:variant>
        <vt:lpwstr>http://www.freshcutexpo.com/</vt:lpwstr>
      </vt:variant>
      <vt:variant>
        <vt:lpwstr/>
      </vt:variant>
      <vt:variant>
        <vt:i4>4587536</vt:i4>
      </vt:variant>
      <vt:variant>
        <vt:i4>150</vt:i4>
      </vt:variant>
      <vt:variant>
        <vt:i4>0</vt:i4>
      </vt:variant>
      <vt:variant>
        <vt:i4>5</vt:i4>
      </vt:variant>
      <vt:variant>
        <vt:lpwstr>http://www.ams.usda.gov/</vt:lpwstr>
      </vt:variant>
      <vt:variant>
        <vt:lpwstr/>
      </vt:variant>
      <vt:variant>
        <vt:i4>3538992</vt:i4>
      </vt:variant>
      <vt:variant>
        <vt:i4>147</vt:i4>
      </vt:variant>
      <vt:variant>
        <vt:i4>0</vt:i4>
      </vt:variant>
      <vt:variant>
        <vt:i4>5</vt:i4>
      </vt:variant>
      <vt:variant>
        <vt:lpwstr>http://www.foodmarketexchange.com/</vt:lpwstr>
      </vt:variant>
      <vt:variant>
        <vt:lpwstr/>
      </vt:variant>
      <vt:variant>
        <vt:i4>4522006</vt:i4>
      </vt:variant>
      <vt:variant>
        <vt:i4>144</vt:i4>
      </vt:variant>
      <vt:variant>
        <vt:i4>0</vt:i4>
      </vt:variant>
      <vt:variant>
        <vt:i4>5</vt:i4>
      </vt:variant>
      <vt:variant>
        <vt:lpwstr>http://www.usitc.gov/</vt:lpwstr>
      </vt:variant>
      <vt:variant>
        <vt:lpwstr/>
      </vt:variant>
      <vt:variant>
        <vt:i4>4849675</vt:i4>
      </vt:variant>
      <vt:variant>
        <vt:i4>138</vt:i4>
      </vt:variant>
      <vt:variant>
        <vt:i4>0</vt:i4>
      </vt:variant>
      <vt:variant>
        <vt:i4>5</vt:i4>
      </vt:variant>
      <vt:variant>
        <vt:lpwstr>http://www.trademap.net/itc1/en/world_10d.htm?typetrade=I&amp;selctry=842&amp;reporter=Y&amp;product=080430&amp;cty_10d=1</vt:lpwstr>
      </vt:variant>
      <vt:variant>
        <vt:lpwstr/>
      </vt:variant>
      <vt:variant>
        <vt:i4>1638450</vt:i4>
      </vt:variant>
      <vt:variant>
        <vt:i4>131</vt:i4>
      </vt:variant>
      <vt:variant>
        <vt:i4>0</vt:i4>
      </vt:variant>
      <vt:variant>
        <vt:i4>5</vt:i4>
      </vt:variant>
      <vt:variant>
        <vt:lpwstr/>
      </vt:variant>
      <vt:variant>
        <vt:lpwstr>_Toc214264295</vt:lpwstr>
      </vt:variant>
      <vt:variant>
        <vt:i4>1638450</vt:i4>
      </vt:variant>
      <vt:variant>
        <vt:i4>125</vt:i4>
      </vt:variant>
      <vt:variant>
        <vt:i4>0</vt:i4>
      </vt:variant>
      <vt:variant>
        <vt:i4>5</vt:i4>
      </vt:variant>
      <vt:variant>
        <vt:lpwstr/>
      </vt:variant>
      <vt:variant>
        <vt:lpwstr>_Toc214264294</vt:lpwstr>
      </vt:variant>
      <vt:variant>
        <vt:i4>1638450</vt:i4>
      </vt:variant>
      <vt:variant>
        <vt:i4>119</vt:i4>
      </vt:variant>
      <vt:variant>
        <vt:i4>0</vt:i4>
      </vt:variant>
      <vt:variant>
        <vt:i4>5</vt:i4>
      </vt:variant>
      <vt:variant>
        <vt:lpwstr/>
      </vt:variant>
      <vt:variant>
        <vt:lpwstr>_Toc214264293</vt:lpwstr>
      </vt:variant>
      <vt:variant>
        <vt:i4>1638450</vt:i4>
      </vt:variant>
      <vt:variant>
        <vt:i4>113</vt:i4>
      </vt:variant>
      <vt:variant>
        <vt:i4>0</vt:i4>
      </vt:variant>
      <vt:variant>
        <vt:i4>5</vt:i4>
      </vt:variant>
      <vt:variant>
        <vt:lpwstr/>
      </vt:variant>
      <vt:variant>
        <vt:lpwstr>_Toc214264292</vt:lpwstr>
      </vt:variant>
      <vt:variant>
        <vt:i4>1638450</vt:i4>
      </vt:variant>
      <vt:variant>
        <vt:i4>107</vt:i4>
      </vt:variant>
      <vt:variant>
        <vt:i4>0</vt:i4>
      </vt:variant>
      <vt:variant>
        <vt:i4>5</vt:i4>
      </vt:variant>
      <vt:variant>
        <vt:lpwstr/>
      </vt:variant>
      <vt:variant>
        <vt:lpwstr>_Toc214264291</vt:lpwstr>
      </vt:variant>
      <vt:variant>
        <vt:i4>1638450</vt:i4>
      </vt:variant>
      <vt:variant>
        <vt:i4>101</vt:i4>
      </vt:variant>
      <vt:variant>
        <vt:i4>0</vt:i4>
      </vt:variant>
      <vt:variant>
        <vt:i4>5</vt:i4>
      </vt:variant>
      <vt:variant>
        <vt:lpwstr/>
      </vt:variant>
      <vt:variant>
        <vt:lpwstr>_Toc214264290</vt:lpwstr>
      </vt:variant>
      <vt:variant>
        <vt:i4>1572914</vt:i4>
      </vt:variant>
      <vt:variant>
        <vt:i4>95</vt:i4>
      </vt:variant>
      <vt:variant>
        <vt:i4>0</vt:i4>
      </vt:variant>
      <vt:variant>
        <vt:i4>5</vt:i4>
      </vt:variant>
      <vt:variant>
        <vt:lpwstr/>
      </vt:variant>
      <vt:variant>
        <vt:lpwstr>_Toc214264289</vt:lpwstr>
      </vt:variant>
      <vt:variant>
        <vt:i4>1572914</vt:i4>
      </vt:variant>
      <vt:variant>
        <vt:i4>89</vt:i4>
      </vt:variant>
      <vt:variant>
        <vt:i4>0</vt:i4>
      </vt:variant>
      <vt:variant>
        <vt:i4>5</vt:i4>
      </vt:variant>
      <vt:variant>
        <vt:lpwstr/>
      </vt:variant>
      <vt:variant>
        <vt:lpwstr>_Toc214264288</vt:lpwstr>
      </vt:variant>
      <vt:variant>
        <vt:i4>1572914</vt:i4>
      </vt:variant>
      <vt:variant>
        <vt:i4>83</vt:i4>
      </vt:variant>
      <vt:variant>
        <vt:i4>0</vt:i4>
      </vt:variant>
      <vt:variant>
        <vt:i4>5</vt:i4>
      </vt:variant>
      <vt:variant>
        <vt:lpwstr/>
      </vt:variant>
      <vt:variant>
        <vt:lpwstr>_Toc214264287</vt:lpwstr>
      </vt:variant>
      <vt:variant>
        <vt:i4>1572914</vt:i4>
      </vt:variant>
      <vt:variant>
        <vt:i4>77</vt:i4>
      </vt:variant>
      <vt:variant>
        <vt:i4>0</vt:i4>
      </vt:variant>
      <vt:variant>
        <vt:i4>5</vt:i4>
      </vt:variant>
      <vt:variant>
        <vt:lpwstr/>
      </vt:variant>
      <vt:variant>
        <vt:lpwstr>_Toc214264286</vt:lpwstr>
      </vt:variant>
      <vt:variant>
        <vt:i4>1572914</vt:i4>
      </vt:variant>
      <vt:variant>
        <vt:i4>71</vt:i4>
      </vt:variant>
      <vt:variant>
        <vt:i4>0</vt:i4>
      </vt:variant>
      <vt:variant>
        <vt:i4>5</vt:i4>
      </vt:variant>
      <vt:variant>
        <vt:lpwstr/>
      </vt:variant>
      <vt:variant>
        <vt:lpwstr>_Toc214264285</vt:lpwstr>
      </vt:variant>
      <vt:variant>
        <vt:i4>1572914</vt:i4>
      </vt:variant>
      <vt:variant>
        <vt:i4>65</vt:i4>
      </vt:variant>
      <vt:variant>
        <vt:i4>0</vt:i4>
      </vt:variant>
      <vt:variant>
        <vt:i4>5</vt:i4>
      </vt:variant>
      <vt:variant>
        <vt:lpwstr/>
      </vt:variant>
      <vt:variant>
        <vt:lpwstr>_Toc214264284</vt:lpwstr>
      </vt:variant>
      <vt:variant>
        <vt:i4>1572914</vt:i4>
      </vt:variant>
      <vt:variant>
        <vt:i4>59</vt:i4>
      </vt:variant>
      <vt:variant>
        <vt:i4>0</vt:i4>
      </vt:variant>
      <vt:variant>
        <vt:i4>5</vt:i4>
      </vt:variant>
      <vt:variant>
        <vt:lpwstr/>
      </vt:variant>
      <vt:variant>
        <vt:lpwstr>_Toc214264283</vt:lpwstr>
      </vt:variant>
      <vt:variant>
        <vt:i4>1572914</vt:i4>
      </vt:variant>
      <vt:variant>
        <vt:i4>53</vt:i4>
      </vt:variant>
      <vt:variant>
        <vt:i4>0</vt:i4>
      </vt:variant>
      <vt:variant>
        <vt:i4>5</vt:i4>
      </vt:variant>
      <vt:variant>
        <vt:lpwstr/>
      </vt:variant>
      <vt:variant>
        <vt:lpwstr>_Toc214264282</vt:lpwstr>
      </vt:variant>
      <vt:variant>
        <vt:i4>1572914</vt:i4>
      </vt:variant>
      <vt:variant>
        <vt:i4>47</vt:i4>
      </vt:variant>
      <vt:variant>
        <vt:i4>0</vt:i4>
      </vt:variant>
      <vt:variant>
        <vt:i4>5</vt:i4>
      </vt:variant>
      <vt:variant>
        <vt:lpwstr/>
      </vt:variant>
      <vt:variant>
        <vt:lpwstr>_Toc214264281</vt:lpwstr>
      </vt:variant>
      <vt:variant>
        <vt:i4>1572914</vt:i4>
      </vt:variant>
      <vt:variant>
        <vt:i4>41</vt:i4>
      </vt:variant>
      <vt:variant>
        <vt:i4>0</vt:i4>
      </vt:variant>
      <vt:variant>
        <vt:i4>5</vt:i4>
      </vt:variant>
      <vt:variant>
        <vt:lpwstr/>
      </vt:variant>
      <vt:variant>
        <vt:lpwstr>_Toc214264280</vt:lpwstr>
      </vt:variant>
      <vt:variant>
        <vt:i4>1507378</vt:i4>
      </vt:variant>
      <vt:variant>
        <vt:i4>35</vt:i4>
      </vt:variant>
      <vt:variant>
        <vt:i4>0</vt:i4>
      </vt:variant>
      <vt:variant>
        <vt:i4>5</vt:i4>
      </vt:variant>
      <vt:variant>
        <vt:lpwstr/>
      </vt:variant>
      <vt:variant>
        <vt:lpwstr>_Toc214264279</vt:lpwstr>
      </vt:variant>
      <vt:variant>
        <vt:i4>1507378</vt:i4>
      </vt:variant>
      <vt:variant>
        <vt:i4>29</vt:i4>
      </vt:variant>
      <vt:variant>
        <vt:i4>0</vt:i4>
      </vt:variant>
      <vt:variant>
        <vt:i4>5</vt:i4>
      </vt:variant>
      <vt:variant>
        <vt:lpwstr/>
      </vt:variant>
      <vt:variant>
        <vt:lpwstr>_Toc214264278</vt:lpwstr>
      </vt:variant>
      <vt:variant>
        <vt:i4>1507378</vt:i4>
      </vt:variant>
      <vt:variant>
        <vt:i4>23</vt:i4>
      </vt:variant>
      <vt:variant>
        <vt:i4>0</vt:i4>
      </vt:variant>
      <vt:variant>
        <vt:i4>5</vt:i4>
      </vt:variant>
      <vt:variant>
        <vt:lpwstr/>
      </vt:variant>
      <vt:variant>
        <vt:lpwstr>_Toc214264277</vt:lpwstr>
      </vt:variant>
      <vt:variant>
        <vt:i4>1507378</vt:i4>
      </vt:variant>
      <vt:variant>
        <vt:i4>17</vt:i4>
      </vt:variant>
      <vt:variant>
        <vt:i4>0</vt:i4>
      </vt:variant>
      <vt:variant>
        <vt:i4>5</vt:i4>
      </vt:variant>
      <vt:variant>
        <vt:lpwstr/>
      </vt:variant>
      <vt:variant>
        <vt:lpwstr>_Toc214264276</vt:lpwstr>
      </vt:variant>
      <vt:variant>
        <vt:i4>1507378</vt:i4>
      </vt:variant>
      <vt:variant>
        <vt:i4>11</vt:i4>
      </vt:variant>
      <vt:variant>
        <vt:i4>0</vt:i4>
      </vt:variant>
      <vt:variant>
        <vt:i4>5</vt:i4>
      </vt:variant>
      <vt:variant>
        <vt:lpwstr/>
      </vt:variant>
      <vt:variant>
        <vt:lpwstr>_Toc214264275</vt:lpwstr>
      </vt:variant>
      <vt:variant>
        <vt:i4>1507378</vt:i4>
      </vt:variant>
      <vt:variant>
        <vt:i4>5</vt:i4>
      </vt:variant>
      <vt:variant>
        <vt:i4>0</vt:i4>
      </vt:variant>
      <vt:variant>
        <vt:i4>5</vt:i4>
      </vt:variant>
      <vt:variant>
        <vt:lpwstr/>
      </vt:variant>
      <vt:variant>
        <vt:lpwstr>_Toc214264274</vt:lpwstr>
      </vt:variant>
      <vt:variant>
        <vt:i4>5636205</vt:i4>
      </vt:variant>
      <vt:variant>
        <vt:i4>0</vt:i4>
      </vt:variant>
      <vt:variant>
        <vt:i4>0</vt:i4>
      </vt:variant>
      <vt:variant>
        <vt:i4>5</vt:i4>
      </vt:variant>
      <vt:variant>
        <vt:lpwstr>mailto:mb@intracen.org</vt:lpwstr>
      </vt:variant>
      <vt:variant>
        <vt:lpwstr/>
      </vt:variant>
      <vt:variant>
        <vt:i4>2556025</vt:i4>
      </vt:variant>
      <vt:variant>
        <vt:i4>24</vt:i4>
      </vt:variant>
      <vt:variant>
        <vt:i4>0</vt:i4>
      </vt:variant>
      <vt:variant>
        <vt:i4>5</vt:i4>
      </vt:variant>
      <vt:variant>
        <vt:lpwstr>http://postharvest.ucdavis.edu/</vt:lpwstr>
      </vt:variant>
      <vt:variant>
        <vt:lpwstr/>
      </vt:variant>
      <vt:variant>
        <vt:i4>4325391</vt:i4>
      </vt:variant>
      <vt:variant>
        <vt:i4>21</vt:i4>
      </vt:variant>
      <vt:variant>
        <vt:i4>0</vt:i4>
      </vt:variant>
      <vt:variant>
        <vt:i4>5</vt:i4>
      </vt:variant>
      <vt:variant>
        <vt:lpwstr>http://www.ers.usda.gov/</vt:lpwstr>
      </vt:variant>
      <vt:variant>
        <vt:lpwstr/>
      </vt:variant>
      <vt:variant>
        <vt:i4>4391004</vt:i4>
      </vt:variant>
      <vt:variant>
        <vt:i4>18</vt:i4>
      </vt:variant>
      <vt:variant>
        <vt:i4>0</vt:i4>
      </vt:variant>
      <vt:variant>
        <vt:i4>5</vt:i4>
      </vt:variant>
      <vt:variant>
        <vt:lpwstr>http://www.cfsan.fda.gov/</vt:lpwstr>
      </vt:variant>
      <vt:variant>
        <vt:lpwstr/>
      </vt:variant>
      <vt:variant>
        <vt:i4>4587536</vt:i4>
      </vt:variant>
      <vt:variant>
        <vt:i4>15</vt:i4>
      </vt:variant>
      <vt:variant>
        <vt:i4>0</vt:i4>
      </vt:variant>
      <vt:variant>
        <vt:i4>5</vt:i4>
      </vt:variant>
      <vt:variant>
        <vt:lpwstr>http://www.ams.usda.gov/</vt:lpwstr>
      </vt:variant>
      <vt:variant>
        <vt:lpwstr/>
      </vt:variant>
      <vt:variant>
        <vt:i4>5505054</vt:i4>
      </vt:variant>
      <vt:variant>
        <vt:i4>12</vt:i4>
      </vt:variant>
      <vt:variant>
        <vt:i4>0</vt:i4>
      </vt:variant>
      <vt:variant>
        <vt:i4>5</vt:i4>
      </vt:variant>
      <vt:variant>
        <vt:lpwstr>http://usda.mannlib.cornell.edu/</vt:lpwstr>
      </vt:variant>
      <vt:variant>
        <vt:lpwstr/>
      </vt:variant>
      <vt:variant>
        <vt:i4>2752554</vt:i4>
      </vt:variant>
      <vt:variant>
        <vt:i4>9</vt:i4>
      </vt:variant>
      <vt:variant>
        <vt:i4>0</vt:i4>
      </vt:variant>
      <vt:variant>
        <vt:i4>5</vt:i4>
      </vt:variant>
      <vt:variant>
        <vt:lpwstr>http://www.honoluluadvertiser.com/</vt:lpwstr>
      </vt:variant>
      <vt:variant>
        <vt:lpwstr/>
      </vt:variant>
      <vt:variant>
        <vt:i4>5505107</vt:i4>
      </vt:variant>
      <vt:variant>
        <vt:i4>6</vt:i4>
      </vt:variant>
      <vt:variant>
        <vt:i4>0</vt:i4>
      </vt:variant>
      <vt:variant>
        <vt:i4>5</vt:i4>
      </vt:variant>
      <vt:variant>
        <vt:lpwstr>http://www.usda.gov/</vt:lpwstr>
      </vt:variant>
      <vt:variant>
        <vt:lpwstr/>
      </vt:variant>
      <vt:variant>
        <vt:i4>4194344</vt:i4>
      </vt:variant>
      <vt:variant>
        <vt:i4>3</vt:i4>
      </vt:variant>
      <vt:variant>
        <vt:i4>0</vt:i4>
      </vt:variant>
      <vt:variant>
        <vt:i4>5</vt:i4>
      </vt:variant>
      <vt:variant>
        <vt:lpwstr>http://en.wikipedia.org/wiki/List_of_pineapple_diseases</vt:lpwstr>
      </vt:variant>
      <vt:variant>
        <vt:lpwstr/>
      </vt:variant>
      <vt:variant>
        <vt:i4>2949168</vt:i4>
      </vt:variant>
      <vt:variant>
        <vt:i4>0</vt:i4>
      </vt:variant>
      <vt:variant>
        <vt:i4>0</vt:i4>
      </vt:variant>
      <vt:variant>
        <vt:i4>5</vt:i4>
      </vt:variant>
      <vt:variant>
        <vt:lpwstr>http://www.wcoomd.org/</vt:lpwstr>
      </vt:variant>
      <vt:variant>
        <vt:lpwstr/>
      </vt:variant>
      <vt:variant>
        <vt:i4>7733314</vt:i4>
      </vt:variant>
      <vt:variant>
        <vt:i4>1024</vt:i4>
      </vt:variant>
      <vt:variant>
        <vt:i4>1025</vt:i4>
      </vt:variant>
      <vt:variant>
        <vt:i4>1</vt:i4>
      </vt:variant>
      <vt:variant>
        <vt:lpwstr>ITC_logo_EN_RGB</vt:lpwstr>
      </vt:variant>
      <vt:variant>
        <vt:lpwstr/>
      </vt:variant>
      <vt:variant>
        <vt:i4>4915305</vt:i4>
      </vt:variant>
      <vt:variant>
        <vt:i4>1075</vt:i4>
      </vt:variant>
      <vt:variant>
        <vt:i4>1026</vt:i4>
      </vt:variant>
      <vt:variant>
        <vt:i4>1</vt:i4>
      </vt:variant>
      <vt:variant>
        <vt:lpwstr>MPj04068720000[1]</vt:lpwstr>
      </vt:variant>
      <vt:variant>
        <vt:lpwstr/>
      </vt:variant>
      <vt:variant>
        <vt:i4>1900572</vt:i4>
      </vt:variant>
      <vt:variant>
        <vt:i4>25511</vt:i4>
      </vt:variant>
      <vt:variant>
        <vt:i4>1028</vt:i4>
      </vt:variant>
      <vt:variant>
        <vt:i4>1</vt:i4>
      </vt:variant>
      <vt:variant>
        <vt:lpwstr>http://www.wachovia.com/file/MethodsofPayment.gif</vt:lpwstr>
      </vt:variant>
      <vt:variant>
        <vt:lpwstr/>
      </vt:variant>
      <vt:variant>
        <vt:i4>524355</vt:i4>
      </vt:variant>
      <vt:variant>
        <vt:i4>32286</vt:i4>
      </vt:variant>
      <vt:variant>
        <vt:i4>1029</vt:i4>
      </vt:variant>
      <vt:variant>
        <vt:i4>1</vt:i4>
      </vt:variant>
      <vt:variant>
        <vt:lpwstr>http://tbn0.google.com/images?q=tbn:TUyKkLPakvbl8M:http://www.srmarchivists.org/archivesmonth/Images/Gallery/Main/pineapples.jpg</vt:lpwstr>
      </vt:variant>
      <vt:variant>
        <vt:lpwstr/>
      </vt:variant>
      <vt:variant>
        <vt:i4>4128830</vt:i4>
      </vt:variant>
      <vt:variant>
        <vt:i4>-1</vt:i4>
      </vt:variant>
      <vt:variant>
        <vt:i4>1026</vt:i4>
      </vt:variant>
      <vt:variant>
        <vt:i4>1</vt:i4>
      </vt:variant>
      <vt:variant>
        <vt:lpwstr>http://www.alohafriends.com/web%20art/pineapple005T.jpg</vt:lpwstr>
      </vt:variant>
      <vt:variant>
        <vt:lpwstr/>
      </vt:variant>
      <vt:variant>
        <vt:i4>7733285</vt:i4>
      </vt:variant>
      <vt:variant>
        <vt:i4>-1</vt:i4>
      </vt:variant>
      <vt:variant>
        <vt:i4>1027</vt:i4>
      </vt:variant>
      <vt:variant>
        <vt:i4>4</vt:i4>
      </vt:variant>
      <vt:variant>
        <vt:lpwstr>http://en.wikipedia.org/wiki/Image:Ornamentalpineapple.jpg</vt:lpwstr>
      </vt:variant>
      <vt:variant>
        <vt:lpwstr/>
      </vt:variant>
      <vt:variant>
        <vt:i4>4194314</vt:i4>
      </vt:variant>
      <vt:variant>
        <vt:i4>-1</vt:i4>
      </vt:variant>
      <vt:variant>
        <vt:i4>1027</vt:i4>
      </vt:variant>
      <vt:variant>
        <vt:i4>1</vt:i4>
      </vt:variant>
      <vt:variant>
        <vt:lpwstr>http://upload.wikimedia.org/wikipedia/en/thumb/9/9b/Ornamentalpineapple.jpg/90px-Ornamentalpineapple.jpg</vt:lpwstr>
      </vt:variant>
      <vt:variant>
        <vt:lpwstr/>
      </vt:variant>
      <vt:variant>
        <vt:i4>5570595</vt:i4>
      </vt:variant>
      <vt:variant>
        <vt:i4>-1</vt:i4>
      </vt:variant>
      <vt:variant>
        <vt:i4>1032</vt:i4>
      </vt:variant>
      <vt:variant>
        <vt:i4>4</vt:i4>
      </vt:variant>
      <vt:variant>
        <vt:lpwstr>http://images.google.com/imgres?imgurl=http://www.janesoceania.com/hawaii_visit/hawaii%2520pineapples.jpg&amp;imgrefurl=http://www.janesoceania.com/hawaii_visit/index.htm&amp;h=533&amp;w=394&amp;sz=66&amp;hl=en&amp;start=109&amp;tbnid=KEhUR0D-wJv_aM:&amp;tbnh=132&amp;tbnw=98&amp;prev=/images%3Fq%3Dpineapples%26start%3D108%26gbv%3D2%26ndsp%3D18%26svnum%3D10%26hl%3Den%26sa%3DN</vt:lpwstr>
      </vt:variant>
      <vt:variant>
        <vt:lpwstr/>
      </vt:variant>
      <vt:variant>
        <vt:i4>1703954</vt:i4>
      </vt:variant>
      <vt:variant>
        <vt:i4>-1</vt:i4>
      </vt:variant>
      <vt:variant>
        <vt:i4>1032</vt:i4>
      </vt:variant>
      <vt:variant>
        <vt:i4>1</vt:i4>
      </vt:variant>
      <vt:variant>
        <vt:lpwstr>http://tbn0.google.com/images?q=tbn:KEhUR0D-wJv_aM:http://www.janesoceania.com/hawaii_visit/hawaii%2520pineapples.jpg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States Market for Pineapples</dc:title>
  <dc:creator>UW-Whitewater</dc:creator>
  <cp:lastModifiedBy>AsandaL</cp:lastModifiedBy>
  <cp:revision>3</cp:revision>
  <cp:lastPrinted>2008-11-12T12:59:00Z</cp:lastPrinted>
  <dcterms:created xsi:type="dcterms:W3CDTF">2011-05-04T16:11:00Z</dcterms:created>
  <dcterms:modified xsi:type="dcterms:W3CDTF">2012-10-15T07:56:00Z</dcterms:modified>
</cp:coreProperties>
</file>